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14" w:rsidRDefault="007118CD" w:rsidP="002A17CD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bookmarkStart w:id="0" w:name="_GoBack"/>
      <w:bookmarkEnd w:id="0"/>
      <w:r w:rsidRPr="002C444A">
        <w:rPr>
          <w:rFonts w:ascii="Calibri" w:eastAsia="Calibri" w:hAnsi="Calibri" w:cs="Times New Roman"/>
          <w:b/>
          <w:color w:val="00B050"/>
          <w:sz w:val="28"/>
          <w:szCs w:val="28"/>
        </w:rPr>
        <w:t>Planification des activités</w:t>
      </w:r>
    </w:p>
    <w:p w:rsidR="001F5633" w:rsidRDefault="00912DD1" w:rsidP="002A17CD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2A17CD" w:rsidRDefault="00AB0854" w:rsidP="00BC1E02">
      <w:pPr>
        <w:spacing w:after="0" w:line="240" w:lineRule="auto"/>
        <w:jc w:val="both"/>
        <w:rPr>
          <w:b/>
        </w:rPr>
      </w:pPr>
      <w:r w:rsidRPr="002A17CD">
        <w:rPr>
          <w:b/>
        </w:rPr>
        <w:t>O</w:t>
      </w:r>
      <w:r w:rsidR="008515D1" w:rsidRPr="002A17CD">
        <w:rPr>
          <w:b/>
        </w:rPr>
        <w:t>bjectif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2A17CD" w:rsidTr="008515D1">
        <w:tc>
          <w:tcPr>
            <w:tcW w:w="10314" w:type="dxa"/>
          </w:tcPr>
          <w:p w:rsidR="000A4FE5" w:rsidRPr="002A17CD" w:rsidRDefault="00F5068D" w:rsidP="00BC1E02">
            <w:pPr>
              <w:jc w:val="both"/>
            </w:pPr>
            <w:r w:rsidRPr="002A17CD">
              <w:t xml:space="preserve">Le modèle </w:t>
            </w:r>
            <w:r w:rsidR="00696C33">
              <w:t xml:space="preserve">de planification </w:t>
            </w:r>
            <w:r w:rsidRPr="002A17CD">
              <w:t xml:space="preserve">proposé </w:t>
            </w:r>
            <w:r w:rsidR="009C336A" w:rsidRPr="002A17CD">
              <w:t xml:space="preserve">permet </w:t>
            </w:r>
            <w:r w:rsidRPr="002A17CD">
              <w:t>d’estimer le nombre d’heures pou</w:t>
            </w:r>
            <w:r w:rsidR="009C336A" w:rsidRPr="002A17CD">
              <w:t xml:space="preserve">r chacune des étapes à réaliser </w:t>
            </w:r>
            <w:r w:rsidRPr="002A17CD">
              <w:t>en fonction</w:t>
            </w:r>
            <w:r w:rsidR="00BC1E02">
              <w:t xml:space="preserve"> des besoins de l’organisation.</w:t>
            </w:r>
          </w:p>
        </w:tc>
      </w:tr>
    </w:tbl>
    <w:p w:rsidR="00AB0854" w:rsidRPr="002A17CD" w:rsidRDefault="00AB0854" w:rsidP="00BC1E02">
      <w:pPr>
        <w:spacing w:after="0" w:line="240" w:lineRule="auto"/>
        <w:jc w:val="both"/>
      </w:pPr>
    </w:p>
    <w:p w:rsidR="00AB0854" w:rsidRPr="002A17CD" w:rsidRDefault="00AB0854" w:rsidP="00BC1E02">
      <w:pPr>
        <w:spacing w:after="0" w:line="240" w:lineRule="auto"/>
        <w:jc w:val="both"/>
        <w:rPr>
          <w:b/>
        </w:rPr>
      </w:pPr>
      <w:r w:rsidRPr="002A17CD">
        <w:rPr>
          <w:b/>
        </w:rPr>
        <w:t>I</w:t>
      </w:r>
      <w:r w:rsidR="00BA7A07" w:rsidRPr="002A17CD">
        <w:rPr>
          <w:b/>
        </w:rPr>
        <w:t>nstruction</w:t>
      </w:r>
      <w:r w:rsidR="001F5633" w:rsidRPr="002A17CD">
        <w:rPr>
          <w:b/>
        </w:rPr>
        <w:t>s</w:t>
      </w:r>
      <w:r w:rsidR="008515D1" w:rsidRPr="002A17CD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2A17CD" w:rsidTr="002A17CD">
        <w:trPr>
          <w:trHeight w:val="864"/>
        </w:trPr>
        <w:tc>
          <w:tcPr>
            <w:tcW w:w="10296" w:type="dxa"/>
          </w:tcPr>
          <w:p w:rsidR="001F5633" w:rsidRPr="002A17CD" w:rsidRDefault="001F5633" w:rsidP="00BC1E02">
            <w:pPr>
              <w:shd w:val="clear" w:color="auto" w:fill="FFFFFF"/>
              <w:jc w:val="both"/>
            </w:pPr>
            <w:r w:rsidRPr="002A17CD">
              <w:t>La planification est une activité essentielle à la réussite de l’implantation de la démarche. L’exercice de planification permet d’avoir une vision globale de la démarche et de visualiser le te</w:t>
            </w:r>
            <w:r w:rsidR="002407A0" w:rsidRPr="002A17CD">
              <w:t>mps à consacrer à sa réalisation</w:t>
            </w:r>
            <w:r w:rsidRPr="002A17CD">
              <w:t>. Cela permet aussi de garder l’accent sur les activités essentielles.</w:t>
            </w:r>
          </w:p>
          <w:p w:rsidR="001F5633" w:rsidRPr="002A17CD" w:rsidRDefault="001F5633" w:rsidP="00BC1E02">
            <w:pPr>
              <w:shd w:val="clear" w:color="auto" w:fill="FFFFFF"/>
              <w:jc w:val="both"/>
            </w:pPr>
          </w:p>
          <w:p w:rsidR="001F5633" w:rsidRPr="002A17CD" w:rsidRDefault="001F5633" w:rsidP="00BC1E02">
            <w:pPr>
              <w:shd w:val="clear" w:color="auto" w:fill="FFFFFF"/>
              <w:jc w:val="both"/>
            </w:pPr>
            <w:r w:rsidRPr="002A17CD">
              <w:t>La planification des activités devrait être utilisée tout au long de l’implantation de</w:t>
            </w:r>
            <w:r w:rsidR="002407A0" w:rsidRPr="002A17CD">
              <w:t xml:space="preserve"> la démarche. </w:t>
            </w:r>
            <w:r w:rsidR="00696C33">
              <w:t>Diffus</w:t>
            </w:r>
            <w:r w:rsidR="002407A0" w:rsidRPr="002A17CD">
              <w:t>ée à</w:t>
            </w:r>
            <w:r w:rsidRPr="002A17CD">
              <w:t xml:space="preserve"> l’ensemble des employés, elle devient un outil de communication très puissant qui permet à tous d’</w:t>
            </w:r>
            <w:r w:rsidR="00B22076" w:rsidRPr="002A17CD">
              <w:t>avoir une vision globale de la Démarche BNQ </w:t>
            </w:r>
            <w:r w:rsidRPr="002A17CD">
              <w:t xml:space="preserve">21000. Elle permet </w:t>
            </w:r>
            <w:r w:rsidR="002407A0" w:rsidRPr="002A17CD">
              <w:t xml:space="preserve">aussi </w:t>
            </w:r>
            <w:r w:rsidRPr="002A17CD">
              <w:t>de bien comprendre les activités à réaliser, de planifier le temps alloué à chacune des activités, de suivre facilement l’évolution, de constater les écarts et de procéder aux ajustements nécessaires.</w:t>
            </w:r>
          </w:p>
          <w:p w:rsidR="001F5633" w:rsidRPr="002A17CD" w:rsidRDefault="001F5633" w:rsidP="00BC1E02">
            <w:pPr>
              <w:shd w:val="clear" w:color="auto" w:fill="FFFFFF"/>
              <w:jc w:val="both"/>
            </w:pPr>
          </w:p>
          <w:p w:rsidR="001464F4" w:rsidRPr="002A17CD" w:rsidRDefault="00F5068D" w:rsidP="00BC1E02">
            <w:pPr>
              <w:jc w:val="both"/>
            </w:pPr>
            <w:r w:rsidRPr="002A17CD">
              <w:t xml:space="preserve">Le modèle est sous forme </w:t>
            </w:r>
            <w:r w:rsidR="0015163B" w:rsidRPr="002A17CD">
              <w:t>de</w:t>
            </w:r>
            <w:r w:rsidRPr="002A17CD">
              <w:t xml:space="preserve"> fichier </w:t>
            </w:r>
            <w:r w:rsidR="008B474D" w:rsidRPr="002A17CD">
              <w:t>Excel</w:t>
            </w:r>
            <w:r w:rsidRPr="002A17CD">
              <w:t>.</w:t>
            </w:r>
          </w:p>
          <w:p w:rsidR="005176C8" w:rsidRPr="002A17CD" w:rsidRDefault="005176C8" w:rsidP="00BC1E02">
            <w:pPr>
              <w:jc w:val="both"/>
            </w:pPr>
          </w:p>
          <w:p w:rsidR="005176C8" w:rsidRPr="002A17CD" w:rsidRDefault="005176C8" w:rsidP="00BC1E02">
            <w:pPr>
              <w:jc w:val="both"/>
            </w:pPr>
            <w:r w:rsidRPr="002A17CD">
              <w:t xml:space="preserve">Le modèle et l’échéancier doivent être adaptés aux </w:t>
            </w:r>
            <w:r w:rsidR="008B474D" w:rsidRPr="002A17CD">
              <w:t>besoins et aux réalités de l’organisation lors de</w:t>
            </w:r>
            <w:r w:rsidRPr="002A17CD">
              <w:t xml:space="preserve"> la rencontre de planification.</w:t>
            </w:r>
          </w:p>
          <w:p w:rsidR="005176C8" w:rsidRPr="002A17CD" w:rsidRDefault="005176C8" w:rsidP="00BC1E02">
            <w:pPr>
              <w:jc w:val="both"/>
            </w:pPr>
          </w:p>
          <w:p w:rsidR="00E60287" w:rsidRPr="002A17CD" w:rsidRDefault="00E60287" w:rsidP="00BC1E02">
            <w:pPr>
              <w:jc w:val="both"/>
            </w:pPr>
            <w:r w:rsidRPr="002A17CD">
              <w:t xml:space="preserve">L’échéancier </w:t>
            </w:r>
            <w:r w:rsidR="00B22076" w:rsidRPr="002A17CD">
              <w:t>prévu pour réaliser les sept </w:t>
            </w:r>
            <w:r w:rsidRPr="002A17CD">
              <w:t>étapes</w:t>
            </w:r>
            <w:r w:rsidR="00B22076" w:rsidRPr="002A17CD">
              <w:t xml:space="preserve"> est d’environ quinze </w:t>
            </w:r>
            <w:r w:rsidRPr="002A17CD">
              <w:t>mois</w:t>
            </w:r>
            <w:r w:rsidR="008D47BE" w:rsidRPr="002A17CD">
              <w:t xml:space="preserve"> avant de faire un premier constat de </w:t>
            </w:r>
            <w:r w:rsidR="00696C33">
              <w:t>la</w:t>
            </w:r>
            <w:r w:rsidR="008D47BE" w:rsidRPr="002A17CD">
              <w:t xml:space="preserve"> progression</w:t>
            </w:r>
            <w:r w:rsidR="00C645A8" w:rsidRPr="002A17CD">
              <w:t xml:space="preserve"> (rétroaction)</w:t>
            </w:r>
            <w:r w:rsidR="008D47BE" w:rsidRPr="002A17CD">
              <w:t xml:space="preserve"> et de recommencer</w:t>
            </w:r>
            <w:r w:rsidRPr="002A17CD">
              <w:t xml:space="preserve"> </w:t>
            </w:r>
            <w:r w:rsidR="008A531A" w:rsidRPr="002A17CD">
              <w:t>le processus</w:t>
            </w:r>
            <w:r w:rsidRPr="002A17CD">
              <w:t xml:space="preserve"> dans une perspective d’amélioration continue</w:t>
            </w:r>
            <w:r w:rsidR="008B474D" w:rsidRPr="002A17CD">
              <w:t xml:space="preserve">. </w:t>
            </w:r>
            <w:r w:rsidRPr="002A17CD">
              <w:t>Voici le temps estimé pour chacune des étapes :</w:t>
            </w:r>
          </w:p>
          <w:p w:rsidR="00E60287" w:rsidRPr="002A17CD" w:rsidRDefault="00E60287" w:rsidP="00BC1E02">
            <w:pPr>
              <w:jc w:val="both"/>
            </w:pPr>
          </w:p>
          <w:p w:rsidR="00E60287" w:rsidRPr="002A17CD" w:rsidRDefault="008A531A" w:rsidP="00BC1E02">
            <w:pPr>
              <w:jc w:val="both"/>
            </w:pPr>
            <w:r w:rsidRPr="002A17CD">
              <w:t>ESTIMATION DE</w:t>
            </w:r>
            <w:r w:rsidR="00E60287" w:rsidRPr="002A17CD">
              <w:t xml:space="preserve"> LA DURÉE DE LA DÉMARCHE </w:t>
            </w:r>
            <w:r w:rsidR="00B22076" w:rsidRPr="002A17CD">
              <w:t>(15 </w:t>
            </w:r>
            <w:r w:rsidR="00E60287" w:rsidRPr="002A17CD">
              <w:t>MOIS)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1</w:t>
            </w:r>
            <w:r w:rsidRPr="002A17CD">
              <w:rPr>
                <w:vertAlign w:val="superscript"/>
              </w:rPr>
              <w:t>er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1 </w:t>
            </w:r>
            <w:r w:rsidR="00D71D4E" w:rsidRPr="002A17CD">
              <w:t>– </w:t>
            </w:r>
            <w:r w:rsidR="00B22076" w:rsidRPr="002A17CD">
              <w:t>P</w:t>
            </w:r>
            <w:r w:rsidR="008B474D" w:rsidRPr="002A17CD">
              <w:t>artager</w:t>
            </w:r>
            <w:r w:rsidR="00E60287" w:rsidRPr="002A17CD">
              <w:t xml:space="preserve"> </w:t>
            </w:r>
            <w:r w:rsidR="00B14561" w:rsidRPr="002A17CD">
              <w:t>la</w:t>
            </w:r>
            <w:r w:rsidR="00E60287" w:rsidRPr="002A17CD">
              <w:t xml:space="preserve"> vision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2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et 3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2 </w:t>
            </w:r>
            <w:r w:rsidR="00D71D4E" w:rsidRPr="002A17CD">
              <w:t>– </w:t>
            </w:r>
            <w:r w:rsidR="00B22076" w:rsidRPr="002A17CD">
              <w:t>C</w:t>
            </w:r>
            <w:r w:rsidR="008B474D" w:rsidRPr="002A17CD">
              <w:t>onsulter</w:t>
            </w:r>
            <w:r w:rsidR="00E60287" w:rsidRPr="002A17CD">
              <w:t xml:space="preserve"> </w:t>
            </w:r>
            <w:r w:rsidR="00B14561" w:rsidRPr="002A17CD">
              <w:t>les</w:t>
            </w:r>
            <w:r w:rsidR="00E60287" w:rsidRPr="002A17CD">
              <w:t xml:space="preserve"> parties prenantes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4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3 </w:t>
            </w:r>
            <w:r w:rsidR="00D71D4E" w:rsidRPr="002A17CD">
              <w:t>– </w:t>
            </w:r>
            <w:r w:rsidR="00B22076" w:rsidRPr="002A17CD">
              <w:t>C</w:t>
            </w:r>
            <w:r w:rsidR="008B474D" w:rsidRPr="002A17CD">
              <w:t>onstater</w:t>
            </w:r>
            <w:r w:rsidR="00E60287" w:rsidRPr="002A17CD">
              <w:t xml:space="preserve"> </w:t>
            </w:r>
            <w:r w:rsidR="00B14561" w:rsidRPr="002A17CD">
              <w:t>la</w:t>
            </w:r>
            <w:r w:rsidR="00E60287" w:rsidRPr="002A17CD">
              <w:t xml:space="preserve"> situation présente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5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et 6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4 – </w:t>
            </w:r>
            <w:r w:rsidR="00B22076" w:rsidRPr="002A17CD">
              <w:t>I</w:t>
            </w:r>
            <w:r w:rsidR="008B474D" w:rsidRPr="002A17CD">
              <w:t>dentifier</w:t>
            </w:r>
            <w:r w:rsidR="00E60287" w:rsidRPr="002A17CD">
              <w:t xml:space="preserve"> </w:t>
            </w:r>
            <w:r w:rsidR="00B14561" w:rsidRPr="002A17CD">
              <w:t>les</w:t>
            </w:r>
            <w:r w:rsidR="00E60287" w:rsidRPr="002A17CD">
              <w:t xml:space="preserve"> enjeux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7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5 </w:t>
            </w:r>
            <w:r w:rsidR="00D71D4E" w:rsidRPr="002A17CD">
              <w:t>– </w:t>
            </w:r>
            <w:r w:rsidR="00B22076" w:rsidRPr="002A17CD">
              <w:t>C</w:t>
            </w:r>
            <w:r w:rsidR="008B474D" w:rsidRPr="002A17CD">
              <w:t>hoisir</w:t>
            </w:r>
            <w:r w:rsidR="00E60287" w:rsidRPr="002A17CD">
              <w:t xml:space="preserve"> </w:t>
            </w:r>
            <w:r w:rsidR="00B14561" w:rsidRPr="002A17CD">
              <w:t>les</w:t>
            </w:r>
            <w:r w:rsidR="00E60287" w:rsidRPr="002A17CD">
              <w:t xml:space="preserve"> priorités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8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et 9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6 </w:t>
            </w:r>
            <w:r w:rsidR="00D71D4E" w:rsidRPr="002A17CD">
              <w:t>– </w:t>
            </w:r>
            <w:r w:rsidR="00B22076" w:rsidRPr="002A17CD">
              <w:t>C</w:t>
            </w:r>
            <w:r w:rsidR="008B474D" w:rsidRPr="002A17CD">
              <w:t>ommuniquer</w:t>
            </w:r>
            <w:r w:rsidR="00E60287" w:rsidRPr="002A17CD">
              <w:t xml:space="preserve"> </w:t>
            </w:r>
            <w:r w:rsidR="00B14561" w:rsidRPr="002A17CD">
              <w:t>les</w:t>
            </w:r>
            <w:r w:rsidR="00E60287" w:rsidRPr="002A17CD">
              <w:t xml:space="preserve"> engagements</w:t>
            </w:r>
          </w:p>
          <w:p w:rsidR="00E60287" w:rsidRPr="002A17CD" w:rsidRDefault="002A79B3" w:rsidP="00BC1E02">
            <w:pPr>
              <w:tabs>
                <w:tab w:val="left" w:leader="underscore" w:pos="3150"/>
              </w:tabs>
              <w:ind w:left="708"/>
            </w:pPr>
            <w:r w:rsidRPr="002A17CD">
              <w:t>10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au 15</w:t>
            </w:r>
            <w:r w:rsidRPr="002A17CD">
              <w:rPr>
                <w:vertAlign w:val="superscript"/>
              </w:rPr>
              <w:t>e</w:t>
            </w:r>
            <w:r w:rsidRPr="002A17CD">
              <w:t xml:space="preserve"> mois</w:t>
            </w:r>
            <w:r w:rsidRPr="002A17CD">
              <w:tab/>
            </w:r>
            <w:r w:rsidR="00EE20A7" w:rsidRPr="002A17CD">
              <w:t>Étape </w:t>
            </w:r>
            <w:r w:rsidR="00E60287" w:rsidRPr="002A17CD">
              <w:t xml:space="preserve">7 </w:t>
            </w:r>
            <w:r w:rsidR="00D71D4E" w:rsidRPr="002A17CD">
              <w:t>– </w:t>
            </w:r>
            <w:r w:rsidR="00B22076" w:rsidRPr="002A17CD">
              <w:t>A</w:t>
            </w:r>
            <w:r w:rsidR="008B474D" w:rsidRPr="002A17CD">
              <w:t>gir</w:t>
            </w:r>
            <w:r w:rsidR="00E60287" w:rsidRPr="002A17CD">
              <w:t xml:space="preserve"> progressivement</w:t>
            </w:r>
          </w:p>
          <w:p w:rsidR="005176C8" w:rsidRPr="002A17CD" w:rsidRDefault="005176C8" w:rsidP="00BC1E02">
            <w:pPr>
              <w:jc w:val="both"/>
            </w:pPr>
          </w:p>
          <w:p w:rsidR="00B367FF" w:rsidRPr="002A17CD" w:rsidRDefault="00B367FF" w:rsidP="00BC1E02">
            <w:pPr>
              <w:jc w:val="both"/>
            </w:pPr>
          </w:p>
          <w:p w:rsidR="00156FF1" w:rsidRPr="002A17CD" w:rsidRDefault="00156FF1" w:rsidP="00BC1E02">
            <w:pPr>
              <w:jc w:val="both"/>
            </w:pPr>
            <w:r w:rsidRPr="002A17CD">
              <w:t>Voici le</w:t>
            </w:r>
            <w:r w:rsidR="00B22076" w:rsidRPr="002A17CD">
              <w:t>s étapes à suivre pour effectuer</w:t>
            </w:r>
            <w:r w:rsidRPr="002A17CD">
              <w:t xml:space="preserve"> </w:t>
            </w:r>
            <w:r w:rsidR="0015163B" w:rsidRPr="002A17CD">
              <w:t>la</w:t>
            </w:r>
            <w:r w:rsidRPr="002A17CD">
              <w:t xml:space="preserve"> planification des activités à l’aide du modèle :</w:t>
            </w:r>
          </w:p>
          <w:p w:rsidR="00156FF1" w:rsidRPr="002A17CD" w:rsidRDefault="00156FF1" w:rsidP="00BC1E02">
            <w:pPr>
              <w:jc w:val="both"/>
            </w:pPr>
          </w:p>
          <w:p w:rsidR="00156FF1" w:rsidRPr="002A17CD" w:rsidRDefault="005176C8" w:rsidP="00BC1E02">
            <w:pPr>
              <w:pStyle w:val="Paragraphedeliste"/>
              <w:numPr>
                <w:ilvl w:val="0"/>
                <w:numId w:val="5"/>
              </w:numPr>
              <w:jc w:val="both"/>
            </w:pPr>
            <w:r w:rsidRPr="002A17CD">
              <w:t xml:space="preserve">Proposer des dates précises ou des périodes de </w:t>
            </w:r>
            <w:r w:rsidR="008B474D" w:rsidRPr="002A17CD">
              <w:t>temps</w:t>
            </w:r>
            <w:r w:rsidRPr="002A17CD">
              <w:t xml:space="preserve"> </w:t>
            </w:r>
            <w:r w:rsidR="0015163B" w:rsidRPr="002A17CD">
              <w:t>(ou encore</w:t>
            </w:r>
            <w:r w:rsidRPr="002A17CD">
              <w:t xml:space="preserve"> un mois donné si la date ne peut être précisée pour l’</w:t>
            </w:r>
            <w:r w:rsidR="00156FF1" w:rsidRPr="002A17CD">
              <w:t>instant</w:t>
            </w:r>
            <w:r w:rsidR="0015163B" w:rsidRPr="002A17CD">
              <w:t>)</w:t>
            </w:r>
            <w:r w:rsidR="00156FF1" w:rsidRPr="002A17CD">
              <w:t xml:space="preserve"> pour </w:t>
            </w:r>
            <w:r w:rsidR="00B22076" w:rsidRPr="002A17CD">
              <w:t>chacune des activités énoncées;</w:t>
            </w:r>
          </w:p>
          <w:p w:rsidR="00156FF1" w:rsidRPr="002A17CD" w:rsidRDefault="001F5633" w:rsidP="00BC1E02">
            <w:pPr>
              <w:pStyle w:val="Paragraphedeliste"/>
              <w:numPr>
                <w:ilvl w:val="0"/>
                <w:numId w:val="5"/>
              </w:numPr>
              <w:jc w:val="both"/>
            </w:pPr>
            <w:r w:rsidRPr="002A17CD">
              <w:t>Estimer</w:t>
            </w:r>
            <w:r w:rsidR="00156FF1" w:rsidRPr="002A17CD">
              <w:t xml:space="preserve"> </w:t>
            </w:r>
            <w:r w:rsidR="008B474D" w:rsidRPr="002A17CD">
              <w:t>le</w:t>
            </w:r>
            <w:r w:rsidR="00156FF1" w:rsidRPr="002A17CD">
              <w:t xml:space="preserve">s échéances </w:t>
            </w:r>
            <w:r w:rsidR="008B474D" w:rsidRPr="002A17CD">
              <w:t xml:space="preserve">tout en tenant compte </w:t>
            </w:r>
            <w:r w:rsidR="00156FF1" w:rsidRPr="002A17CD">
              <w:t>d</w:t>
            </w:r>
            <w:r w:rsidR="008B474D" w:rsidRPr="002A17CD">
              <w:t xml:space="preserve">u </w:t>
            </w:r>
            <w:r w:rsidR="00156FF1" w:rsidRPr="002A17CD">
              <w:t xml:space="preserve">contexte </w:t>
            </w:r>
            <w:r w:rsidR="008B474D" w:rsidRPr="002A17CD">
              <w:t xml:space="preserve">général </w:t>
            </w:r>
            <w:r w:rsidR="00156FF1" w:rsidRPr="002A17CD">
              <w:t xml:space="preserve">et </w:t>
            </w:r>
            <w:r w:rsidR="008B474D" w:rsidRPr="002A17CD">
              <w:t xml:space="preserve">du réalisme de </w:t>
            </w:r>
            <w:r w:rsidR="00B22076" w:rsidRPr="002A17CD">
              <w:t>la planification;</w:t>
            </w:r>
          </w:p>
          <w:p w:rsidR="005176C8" w:rsidRPr="002A17CD" w:rsidRDefault="00696C33" w:rsidP="00696C33">
            <w:pPr>
              <w:pStyle w:val="Paragraphedeliste"/>
              <w:numPr>
                <w:ilvl w:val="0"/>
                <w:numId w:val="5"/>
              </w:numPr>
              <w:jc w:val="both"/>
            </w:pPr>
            <w:r>
              <w:t xml:space="preserve">Se </w:t>
            </w:r>
            <w:r w:rsidR="00B22076" w:rsidRPr="002A17CD">
              <w:t>r</w:t>
            </w:r>
            <w:r w:rsidR="005176C8" w:rsidRPr="002A17CD">
              <w:t>éférer à la présentation «</w:t>
            </w:r>
            <w:r w:rsidR="00603EBF" w:rsidRPr="002A17CD">
              <w:t> </w:t>
            </w:r>
            <w:r w:rsidRPr="00696C33">
              <w:t>00-2_Demarche-BNQ21000_Outil.pptx</w:t>
            </w:r>
            <w:r>
              <w:t xml:space="preserve"> </w:t>
            </w:r>
            <w:r w:rsidR="005176C8" w:rsidRPr="002A17CD">
              <w:t xml:space="preserve">» ou consulter </w:t>
            </w:r>
            <w:r w:rsidR="00156FF1" w:rsidRPr="002A17CD">
              <w:t>les outils pour défin</w:t>
            </w:r>
            <w:r w:rsidR="008B474D" w:rsidRPr="002A17CD">
              <w:t>ir le</w:t>
            </w:r>
            <w:r w:rsidR="00B22076" w:rsidRPr="002A17CD">
              <w:t>s dates;</w:t>
            </w:r>
          </w:p>
          <w:p w:rsidR="00F66327" w:rsidRPr="002A17CD" w:rsidRDefault="001F5633" w:rsidP="00BC1E02">
            <w:pPr>
              <w:pStyle w:val="Paragraphedeliste"/>
              <w:numPr>
                <w:ilvl w:val="0"/>
                <w:numId w:val="5"/>
              </w:numPr>
              <w:jc w:val="both"/>
            </w:pPr>
            <w:r w:rsidRPr="002A17CD">
              <w:t>V</w:t>
            </w:r>
            <w:r w:rsidR="00F5068D" w:rsidRPr="002A17CD">
              <w:t>a</w:t>
            </w:r>
            <w:r w:rsidR="00E60287" w:rsidRPr="002A17CD">
              <w:t>lider la planification des activités</w:t>
            </w:r>
            <w:r w:rsidR="00F5068D" w:rsidRPr="002A17CD">
              <w:t xml:space="preserve"> </w:t>
            </w:r>
            <w:r w:rsidR="005E266D" w:rsidRPr="002A17CD">
              <w:t>auprès d</w:t>
            </w:r>
            <w:r w:rsidR="008B474D" w:rsidRPr="002A17CD">
              <w:t>es</w:t>
            </w:r>
            <w:r w:rsidR="00F5068D" w:rsidRPr="002A17CD">
              <w:t xml:space="preserve"> </w:t>
            </w:r>
            <w:r w:rsidR="00EE20A7" w:rsidRPr="002A17CD">
              <w:t>acteurs</w:t>
            </w:r>
            <w:r w:rsidR="00F5068D" w:rsidRPr="002A17CD">
              <w:t xml:space="preserve"> décisionn</w:t>
            </w:r>
            <w:r w:rsidR="00E60287" w:rsidRPr="002A17CD">
              <w:t xml:space="preserve">els avant de </w:t>
            </w:r>
            <w:r w:rsidR="00EE20A7" w:rsidRPr="002A17CD">
              <w:t>commencer</w:t>
            </w:r>
            <w:r w:rsidR="00E60287" w:rsidRPr="002A17CD">
              <w:t xml:space="preserve"> l’</w:t>
            </w:r>
            <w:r w:rsidR="00EE20A7" w:rsidRPr="002A17CD">
              <w:t>étape </w:t>
            </w:r>
            <w:r w:rsidR="00E60287" w:rsidRPr="002A17CD">
              <w:t>1</w:t>
            </w:r>
            <w:r w:rsidR="00F5068D" w:rsidRPr="002A17CD">
              <w:t>.</w:t>
            </w:r>
          </w:p>
          <w:p w:rsidR="009E343C" w:rsidRPr="002A17CD" w:rsidRDefault="009E343C" w:rsidP="00BC1E02">
            <w:pPr>
              <w:pStyle w:val="Paragraphedeliste"/>
              <w:jc w:val="both"/>
            </w:pPr>
          </w:p>
          <w:p w:rsidR="00821E53" w:rsidRPr="002A17CD" w:rsidRDefault="00B50B18" w:rsidP="00BC1E02">
            <w:pPr>
              <w:pStyle w:val="Paragraphedeliste"/>
              <w:ind w:left="0"/>
              <w:jc w:val="both"/>
            </w:pPr>
            <w:r w:rsidRPr="002A17CD">
              <w:lastRenderedPageBreak/>
              <w:t xml:space="preserve">En cours d’implantation, </w:t>
            </w:r>
            <w:r w:rsidR="008B474D" w:rsidRPr="002A17CD">
              <w:t xml:space="preserve">il est important de </w:t>
            </w:r>
            <w:r w:rsidRPr="002A17CD">
              <w:t xml:space="preserve">documenter les ajustements à la planification </w:t>
            </w:r>
            <w:r w:rsidR="00B22076" w:rsidRPr="002A17CD">
              <w:t>des activités;</w:t>
            </w:r>
            <w:r w:rsidRPr="002A17CD">
              <w:t xml:space="preserve"> </w:t>
            </w:r>
            <w:r w:rsidR="008B474D" w:rsidRPr="002A17CD">
              <w:t>il sera</w:t>
            </w:r>
            <w:r w:rsidRPr="002A17CD">
              <w:t xml:space="preserve"> ainsi </w:t>
            </w:r>
            <w:r w:rsidR="008B474D" w:rsidRPr="002A17CD">
              <w:t xml:space="preserve">possible de </w:t>
            </w:r>
            <w:r w:rsidR="008335E7" w:rsidRPr="002A17CD">
              <w:t>conserver un historique d</w:t>
            </w:r>
            <w:r w:rsidR="009E343C" w:rsidRPr="002A17CD">
              <w:t>es changements réalisés</w:t>
            </w:r>
            <w:r w:rsidR="001F5633" w:rsidRPr="002A17CD">
              <w:t xml:space="preserve"> et de</w:t>
            </w:r>
            <w:r w:rsidR="009E343C" w:rsidRPr="002A17CD">
              <w:t xml:space="preserve"> </w:t>
            </w:r>
            <w:r w:rsidR="00D71D4E" w:rsidRPr="002A17CD">
              <w:t>le consulter</w:t>
            </w:r>
            <w:r w:rsidR="009E343C" w:rsidRPr="002A17CD">
              <w:t xml:space="preserve"> lors de nouveaux projets</w:t>
            </w:r>
            <w:r w:rsidR="008B474D" w:rsidRPr="002A17CD">
              <w:t xml:space="preserve"> afin d’</w:t>
            </w:r>
            <w:r w:rsidR="00B22076" w:rsidRPr="002A17CD">
              <w:t>aider la planification</w:t>
            </w:r>
            <w:r w:rsidR="009E343C" w:rsidRPr="002A17CD">
              <w:t xml:space="preserve"> en tenant compte de</w:t>
            </w:r>
            <w:r w:rsidR="008B474D" w:rsidRPr="002A17CD">
              <w:t>s</w:t>
            </w:r>
            <w:r w:rsidR="009E343C" w:rsidRPr="002A17CD">
              <w:t xml:space="preserve"> expériences passées.</w:t>
            </w:r>
          </w:p>
        </w:tc>
      </w:tr>
    </w:tbl>
    <w:p w:rsidR="00821E53" w:rsidRPr="002A17CD" w:rsidRDefault="00821E53" w:rsidP="00BC1E02">
      <w:pPr>
        <w:spacing w:after="0" w:line="240" w:lineRule="auto"/>
        <w:jc w:val="both"/>
      </w:pPr>
    </w:p>
    <w:p w:rsidR="001464F4" w:rsidRPr="002A17CD" w:rsidRDefault="008515D1" w:rsidP="00BC1E02">
      <w:pPr>
        <w:spacing w:after="0" w:line="240" w:lineRule="auto"/>
        <w:jc w:val="both"/>
        <w:rPr>
          <w:b/>
        </w:rPr>
      </w:pPr>
      <w:r w:rsidRPr="002A17CD">
        <w:rPr>
          <w:b/>
        </w:rPr>
        <w:t>Conditions de succès</w:t>
      </w:r>
      <w:r w:rsidR="00F5068D" w:rsidRPr="002A17CD">
        <w:rPr>
          <w:b/>
        </w:rPr>
        <w:t> </w:t>
      </w:r>
      <w:r w:rsidR="001464F4" w:rsidRPr="002A17CD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2A17CD" w:rsidTr="00BC1E02">
        <w:tc>
          <w:tcPr>
            <w:tcW w:w="10296" w:type="dxa"/>
          </w:tcPr>
          <w:p w:rsidR="00F5068D" w:rsidRPr="002A17CD" w:rsidRDefault="00F5068D" w:rsidP="002E6D05">
            <w:pPr>
              <w:pStyle w:val="Paragraphedeliste"/>
              <w:numPr>
                <w:ilvl w:val="0"/>
                <w:numId w:val="4"/>
              </w:numPr>
              <w:ind w:left="720"/>
              <w:jc w:val="both"/>
            </w:pPr>
            <w:r w:rsidRPr="002A17CD">
              <w:t>Prendre en considération le contexte et le</w:t>
            </w:r>
            <w:r w:rsidR="00EE20A7" w:rsidRPr="002A17CD">
              <w:t xml:space="preserve">s </w:t>
            </w:r>
            <w:r w:rsidRPr="002A17CD">
              <w:t xml:space="preserve">besoins de l’organisation </w:t>
            </w:r>
            <w:r w:rsidR="001F5633" w:rsidRPr="002A17CD">
              <w:t>pour</w:t>
            </w:r>
            <w:r w:rsidRPr="002A17CD">
              <w:t xml:space="preserve"> adapter le modèle</w:t>
            </w:r>
            <w:r w:rsidR="000941AB" w:rsidRPr="002A17CD">
              <w:t>.</w:t>
            </w:r>
          </w:p>
          <w:p w:rsidR="00F5068D" w:rsidRPr="002A17CD" w:rsidRDefault="00B22076" w:rsidP="002E6D05">
            <w:pPr>
              <w:pStyle w:val="Paragraphedeliste"/>
              <w:numPr>
                <w:ilvl w:val="0"/>
                <w:numId w:val="4"/>
              </w:numPr>
              <w:ind w:left="720"/>
              <w:jc w:val="both"/>
            </w:pPr>
            <w:r w:rsidRPr="002A17CD">
              <w:t>Ne pas dépasser 24 </w:t>
            </w:r>
            <w:r w:rsidR="00F5068D" w:rsidRPr="002A17CD">
              <w:t xml:space="preserve">mois pour réaliser l’ensemble des étapes de la démarche avant de procéder à la rétroaction et </w:t>
            </w:r>
            <w:r w:rsidRPr="002A17CD">
              <w:t xml:space="preserve">de </w:t>
            </w:r>
            <w:r w:rsidR="00F5068D" w:rsidRPr="002A17CD">
              <w:t>reprendre le processus</w:t>
            </w:r>
            <w:r w:rsidR="008B474D" w:rsidRPr="002A17CD">
              <w:t xml:space="preserve">. </w:t>
            </w:r>
            <w:r w:rsidR="00F5068D" w:rsidRPr="002A17CD">
              <w:t>Si le processus est trop long, la mobilisation des employés risque de décliner.</w:t>
            </w:r>
          </w:p>
          <w:p w:rsidR="00676E04" w:rsidRPr="002A17CD" w:rsidRDefault="00696C33" w:rsidP="00696C33">
            <w:pPr>
              <w:pStyle w:val="Paragraphedeliste"/>
              <w:numPr>
                <w:ilvl w:val="0"/>
                <w:numId w:val="4"/>
              </w:numPr>
              <w:ind w:left="720"/>
              <w:jc w:val="both"/>
            </w:pPr>
            <w:r>
              <w:t>Rendre accessible</w:t>
            </w:r>
            <w:r w:rsidR="00676E04" w:rsidRPr="002A17CD">
              <w:t xml:space="preserve"> </w:t>
            </w:r>
            <w:r>
              <w:t>aux</w:t>
            </w:r>
            <w:r w:rsidRPr="002A17CD">
              <w:t xml:space="preserve"> employés</w:t>
            </w:r>
            <w:r>
              <w:t xml:space="preserve"> la</w:t>
            </w:r>
            <w:r w:rsidR="00676E04" w:rsidRPr="002A17CD">
              <w:t xml:space="preserve"> planification des activités</w:t>
            </w:r>
            <w:r w:rsidR="00B22076" w:rsidRPr="002A17CD">
              <w:t>,</w:t>
            </w:r>
            <w:r w:rsidR="00676E04" w:rsidRPr="002A17CD">
              <w:t xml:space="preserve"> </w:t>
            </w:r>
            <w:r w:rsidR="001F5633" w:rsidRPr="002A17CD">
              <w:t>incluant</w:t>
            </w:r>
            <w:r w:rsidR="00676E04" w:rsidRPr="002A17CD">
              <w:t xml:space="preserve"> les ajustements </w:t>
            </w:r>
            <w:r w:rsidR="001F5633" w:rsidRPr="002A17CD">
              <w:t>en cours de démarche.</w:t>
            </w:r>
          </w:p>
        </w:tc>
      </w:tr>
    </w:tbl>
    <w:p w:rsidR="00BC1E02" w:rsidRPr="003D29F2" w:rsidRDefault="00BC1E02" w:rsidP="00BC1E02">
      <w:pPr>
        <w:spacing w:before="240" w:after="0"/>
        <w:jc w:val="both"/>
        <w:rPr>
          <w:rFonts w:cstheme="minorHAnsi"/>
          <w:b/>
          <w:color w:val="000000" w:themeColor="text1"/>
        </w:rPr>
      </w:pPr>
      <w:r w:rsidRPr="003D29F2">
        <w:rPr>
          <w:rFonts w:cstheme="minorHAnsi"/>
          <w:b/>
          <w:color w:val="000000" w:themeColor="text1"/>
        </w:rPr>
        <w:t xml:space="preserve">Voir </w:t>
      </w:r>
      <w:r>
        <w:rPr>
          <w:rFonts w:cstheme="minorHAnsi"/>
          <w:b/>
          <w:color w:val="000000" w:themeColor="text1"/>
        </w:rPr>
        <w:t xml:space="preserve">le </w:t>
      </w:r>
      <w:r w:rsidRPr="003D29F2">
        <w:rPr>
          <w:rFonts w:cstheme="minorHAnsi"/>
          <w:b/>
          <w:color w:val="000000" w:themeColor="text1"/>
        </w:rPr>
        <w:t>document en appui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BC1E02" w:rsidRPr="003D29F2" w:rsidTr="00CB1307">
        <w:tc>
          <w:tcPr>
            <w:tcW w:w="10296" w:type="dxa"/>
          </w:tcPr>
          <w:p w:rsidR="00BC1E02" w:rsidRPr="00327C67" w:rsidRDefault="00BC1E02" w:rsidP="002E6D05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Modèle : « Fabrique de gâteaux aux fraises de madame Mirabelle »</w:t>
            </w:r>
            <w:r w:rsidRPr="00327C67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</w:tbl>
    <w:p w:rsidR="00D240E7" w:rsidRPr="002A17CD" w:rsidRDefault="00D240E7" w:rsidP="00BC1E02">
      <w:pPr>
        <w:spacing w:after="0"/>
      </w:pPr>
    </w:p>
    <w:sectPr w:rsidR="00D240E7" w:rsidRPr="002A17CD" w:rsidSect="007118CD">
      <w:headerReference w:type="default" r:id="rId9"/>
      <w:footerReference w:type="default" r:id="rId10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011" w:rsidRDefault="00374011" w:rsidP="00AB0854">
      <w:pPr>
        <w:spacing w:after="0" w:line="240" w:lineRule="auto"/>
      </w:pPr>
      <w:r>
        <w:separator/>
      </w:r>
    </w:p>
  </w:endnote>
  <w:endnote w:type="continuationSeparator" w:id="0">
    <w:p w:rsidR="00374011" w:rsidRDefault="00374011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52"/>
      <w:gridCol w:w="2971"/>
      <w:gridCol w:w="3773"/>
    </w:tblGrid>
    <w:tr w:rsidR="00BC1E02" w:rsidRPr="00BC1E02" w:rsidTr="00CB1307">
      <w:tc>
        <w:tcPr>
          <w:tcW w:w="3798" w:type="dxa"/>
          <w:vAlign w:val="bottom"/>
        </w:tcPr>
        <w:p w:rsidR="00BC1E02" w:rsidRPr="00BC1E02" w:rsidRDefault="004E5AD0" w:rsidP="00BC1E02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BC1E02" w:rsidRPr="00BC1E02" w:rsidRDefault="00BC1E02" w:rsidP="00BC1E02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BC1E02">
            <w:rPr>
              <w:sz w:val="18"/>
              <w:szCs w:val="18"/>
            </w:rPr>
            <w:tab/>
          </w:r>
          <w:r w:rsidR="004E5AD0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07CC4EE" wp14:editId="4D9B7DDB">
                <wp:extent cx="1324098" cy="456078"/>
                <wp:effectExtent l="0" t="0" r="0" b="127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5731" cy="456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BC1E02" w:rsidRPr="00BC1E02" w:rsidRDefault="00374011" w:rsidP="00BC1E02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BC1E02" w:rsidRPr="00BC1E02">
                <w:rPr>
                  <w:sz w:val="18"/>
                  <w:szCs w:val="18"/>
                </w:rPr>
                <w:br/>
              </w:r>
              <w:r w:rsidR="00BC1E02" w:rsidRPr="00BC1E02">
                <w:rPr>
                  <w:sz w:val="18"/>
                  <w:szCs w:val="18"/>
                </w:rPr>
                <w:br/>
              </w:r>
              <w:r w:rsidR="00BC1E02" w:rsidRPr="00BC1E02">
                <w:rPr>
                  <w:sz w:val="18"/>
                  <w:szCs w:val="18"/>
                </w:rPr>
                <w:fldChar w:fldCharType="begin"/>
              </w:r>
              <w:r w:rsidR="00BC1E02" w:rsidRPr="00BC1E02">
                <w:rPr>
                  <w:sz w:val="18"/>
                  <w:szCs w:val="18"/>
                </w:rPr>
                <w:instrText>PAGE   \* MERGEFORMAT</w:instrText>
              </w:r>
              <w:r w:rsidR="00BC1E02" w:rsidRPr="00BC1E02">
                <w:rPr>
                  <w:sz w:val="18"/>
                  <w:szCs w:val="18"/>
                </w:rPr>
                <w:fldChar w:fldCharType="separate"/>
              </w:r>
              <w:r w:rsidR="004E5AD0" w:rsidRPr="004E5AD0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BC1E02" w:rsidRPr="00BC1E02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BC1E02" w:rsidRPr="00BC1E02" w:rsidRDefault="00BC1E02" w:rsidP="00BC1E02">
    <w:pPr>
      <w:tabs>
        <w:tab w:val="center" w:pos="4320"/>
        <w:tab w:val="right" w:pos="8640"/>
      </w:tabs>
      <w:spacing w:after="0" w:line="240" w:lineRule="auto"/>
      <w:rPr>
        <w:sz w:val="2"/>
        <w:szCs w:val="2"/>
      </w:rPr>
    </w:pPr>
  </w:p>
  <w:p w:rsidR="002A17CD" w:rsidRPr="002A17CD" w:rsidRDefault="002A17CD" w:rsidP="002A17CD">
    <w:pPr>
      <w:tabs>
        <w:tab w:val="center" w:pos="5040"/>
        <w:tab w:val="right" w:pos="10080"/>
      </w:tabs>
      <w:spacing w:after="0" w:line="240" w:lineRule="auto"/>
      <w:rPr>
        <w:rFonts w:ascii="Calibri" w:eastAsia="Calibri" w:hAnsi="Calibri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011" w:rsidRDefault="00374011" w:rsidP="00AB0854">
      <w:pPr>
        <w:spacing w:after="0" w:line="240" w:lineRule="auto"/>
      </w:pPr>
      <w:r>
        <w:separator/>
      </w:r>
    </w:p>
  </w:footnote>
  <w:footnote w:type="continuationSeparator" w:id="0">
    <w:p w:rsidR="00374011" w:rsidRDefault="00374011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86" w:type="pct"/>
      <w:tblInd w:w="-15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400"/>
      <w:gridCol w:w="5294"/>
    </w:tblGrid>
    <w:tr w:rsidR="000C7F33" w:rsidTr="007118CD">
      <w:trPr>
        <w:trHeight w:val="383"/>
      </w:trPr>
      <w:tc>
        <w:tcPr>
          <w:tcW w:w="2525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0C7F33" w:rsidRPr="00682610" w:rsidRDefault="002407A0" w:rsidP="00BC5D04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Planification de la D</w:t>
          </w:r>
          <w:r w:rsidR="000C7F33" w:rsidRPr="00682610">
            <w:rPr>
              <w:rFonts w:cs="Calibri"/>
              <w:color w:val="FFFFFF"/>
              <w:sz w:val="28"/>
              <w:szCs w:val="28"/>
            </w:rPr>
            <w:t>émarche</w:t>
          </w:r>
          <w:r w:rsidR="004E5AD0">
            <w:rPr>
              <w:rFonts w:cs="Calibri"/>
              <w:color w:val="FFFFFF"/>
              <w:sz w:val="28"/>
              <w:szCs w:val="28"/>
            </w:rPr>
            <w:t xml:space="preserve"> BNQ 21000</w:t>
          </w:r>
        </w:p>
      </w:tc>
      <w:tc>
        <w:tcPr>
          <w:tcW w:w="2475" w:type="pct"/>
          <w:tcBorders>
            <w:bottom w:val="single" w:sz="4" w:space="0" w:color="auto"/>
          </w:tcBorders>
        </w:tcPr>
        <w:p w:rsidR="000C7F33" w:rsidRPr="007F18B9" w:rsidRDefault="004E5AD0" w:rsidP="007F18B9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933DA4" w:rsidRPr="007F18B9">
            <w:rPr>
              <w:rFonts w:cs="Calibri"/>
              <w:b/>
              <w:sz w:val="28"/>
              <w:szCs w:val="28"/>
            </w:rPr>
            <w:t>0-3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7118CD" w:rsidRPr="007F18B9">
            <w:rPr>
              <w:rFonts w:cs="Calibri"/>
              <w:b/>
              <w:sz w:val="28"/>
              <w:szCs w:val="28"/>
            </w:rPr>
            <w:t xml:space="preserve"> </w:t>
          </w:r>
          <w:r w:rsidR="007F18B9">
            <w:rPr>
              <w:rFonts w:cs="Calibri"/>
              <w:b/>
              <w:sz w:val="28"/>
              <w:szCs w:val="28"/>
            </w:rPr>
            <w:t>Réaliser une planification détaillée des activités</w:t>
          </w:r>
        </w:p>
      </w:tc>
    </w:tr>
  </w:tbl>
  <w:p w:rsidR="000C7F33" w:rsidRDefault="000C7F33" w:rsidP="002C444A">
    <w:pPr>
      <w:pStyle w:val="En-tte"/>
      <w:rPr>
        <w:rFonts w:ascii="Verdana" w:hAnsi="Verdan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33BA"/>
    <w:multiLevelType w:val="hybridMultilevel"/>
    <w:tmpl w:val="DE80518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75A6E"/>
    <w:multiLevelType w:val="hybridMultilevel"/>
    <w:tmpl w:val="EC9471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B61776"/>
    <w:multiLevelType w:val="hybridMultilevel"/>
    <w:tmpl w:val="7F58F3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B3B88"/>
    <w:multiLevelType w:val="hybridMultilevel"/>
    <w:tmpl w:val="2CF8A73C"/>
    <w:lvl w:ilvl="0" w:tplc="0C0C000F">
      <w:start w:val="1"/>
      <w:numFmt w:val="decimal"/>
      <w:lvlText w:val="%1."/>
      <w:lvlJc w:val="left"/>
      <w:pPr>
        <w:ind w:left="776" w:hanging="360"/>
      </w:p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>
    <w:nsid w:val="24CB4C24"/>
    <w:multiLevelType w:val="hybridMultilevel"/>
    <w:tmpl w:val="9C12FB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2157E"/>
    <w:multiLevelType w:val="hybridMultilevel"/>
    <w:tmpl w:val="E73692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0E132D"/>
    <w:multiLevelType w:val="hybridMultilevel"/>
    <w:tmpl w:val="987EAD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6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239C1"/>
    <w:rsid w:val="00025C43"/>
    <w:rsid w:val="000309B6"/>
    <w:rsid w:val="00031345"/>
    <w:rsid w:val="00033B33"/>
    <w:rsid w:val="000345DF"/>
    <w:rsid w:val="000405AD"/>
    <w:rsid w:val="00041248"/>
    <w:rsid w:val="00046CA9"/>
    <w:rsid w:val="000575BA"/>
    <w:rsid w:val="00057A99"/>
    <w:rsid w:val="00065897"/>
    <w:rsid w:val="00065CD7"/>
    <w:rsid w:val="000732A9"/>
    <w:rsid w:val="00077F78"/>
    <w:rsid w:val="00081A4E"/>
    <w:rsid w:val="0008293B"/>
    <w:rsid w:val="00083365"/>
    <w:rsid w:val="00084AF9"/>
    <w:rsid w:val="00086665"/>
    <w:rsid w:val="0008742F"/>
    <w:rsid w:val="0009235E"/>
    <w:rsid w:val="000941AB"/>
    <w:rsid w:val="000A21CE"/>
    <w:rsid w:val="000A3F86"/>
    <w:rsid w:val="000A4FE5"/>
    <w:rsid w:val="000B19D2"/>
    <w:rsid w:val="000B3965"/>
    <w:rsid w:val="000B3AE2"/>
    <w:rsid w:val="000B3CE2"/>
    <w:rsid w:val="000B4270"/>
    <w:rsid w:val="000B5361"/>
    <w:rsid w:val="000B71DF"/>
    <w:rsid w:val="000B771D"/>
    <w:rsid w:val="000C6484"/>
    <w:rsid w:val="000C6D23"/>
    <w:rsid w:val="000C76ED"/>
    <w:rsid w:val="000C7F33"/>
    <w:rsid w:val="000D3E5D"/>
    <w:rsid w:val="000D6CAD"/>
    <w:rsid w:val="000E10C1"/>
    <w:rsid w:val="000E2B0B"/>
    <w:rsid w:val="000E4BE5"/>
    <w:rsid w:val="000E5119"/>
    <w:rsid w:val="000E6DFD"/>
    <w:rsid w:val="000E7BC7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163B"/>
    <w:rsid w:val="00154607"/>
    <w:rsid w:val="00156FF1"/>
    <w:rsid w:val="001578EF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17AF"/>
    <w:rsid w:val="001A2A03"/>
    <w:rsid w:val="001A33F2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427B"/>
    <w:rsid w:val="001D72B0"/>
    <w:rsid w:val="001E12AD"/>
    <w:rsid w:val="001E3D1F"/>
    <w:rsid w:val="001E675A"/>
    <w:rsid w:val="001E6CDA"/>
    <w:rsid w:val="001E6E4B"/>
    <w:rsid w:val="001E70B7"/>
    <w:rsid w:val="001F2DE2"/>
    <w:rsid w:val="001F5633"/>
    <w:rsid w:val="002011C0"/>
    <w:rsid w:val="00201560"/>
    <w:rsid w:val="00201C0A"/>
    <w:rsid w:val="00205397"/>
    <w:rsid w:val="0020548B"/>
    <w:rsid w:val="002067F1"/>
    <w:rsid w:val="00206DB3"/>
    <w:rsid w:val="00206F05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407A0"/>
    <w:rsid w:val="00242445"/>
    <w:rsid w:val="00255937"/>
    <w:rsid w:val="00256EAF"/>
    <w:rsid w:val="00257CC5"/>
    <w:rsid w:val="00262D35"/>
    <w:rsid w:val="00277B75"/>
    <w:rsid w:val="0028309A"/>
    <w:rsid w:val="0028413E"/>
    <w:rsid w:val="00285898"/>
    <w:rsid w:val="00286D2C"/>
    <w:rsid w:val="00287444"/>
    <w:rsid w:val="002877B9"/>
    <w:rsid w:val="002930AE"/>
    <w:rsid w:val="002942D6"/>
    <w:rsid w:val="00297F46"/>
    <w:rsid w:val="002A17CD"/>
    <w:rsid w:val="002A78DA"/>
    <w:rsid w:val="002A79B3"/>
    <w:rsid w:val="002B137B"/>
    <w:rsid w:val="002B3198"/>
    <w:rsid w:val="002B3683"/>
    <w:rsid w:val="002B4D62"/>
    <w:rsid w:val="002B5008"/>
    <w:rsid w:val="002B5302"/>
    <w:rsid w:val="002C0AD9"/>
    <w:rsid w:val="002C444A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6D05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177D7"/>
    <w:rsid w:val="00327557"/>
    <w:rsid w:val="00331354"/>
    <w:rsid w:val="00334BA1"/>
    <w:rsid w:val="00341E03"/>
    <w:rsid w:val="00343314"/>
    <w:rsid w:val="0034586C"/>
    <w:rsid w:val="00351F96"/>
    <w:rsid w:val="0035271D"/>
    <w:rsid w:val="0035626C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4011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0DC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4723"/>
    <w:rsid w:val="003F57D8"/>
    <w:rsid w:val="003F5D14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4929"/>
    <w:rsid w:val="00475A6E"/>
    <w:rsid w:val="004779EE"/>
    <w:rsid w:val="00482D8C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E5AD0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176C8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5A91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3966"/>
    <w:rsid w:val="005C6E37"/>
    <w:rsid w:val="005C7C6B"/>
    <w:rsid w:val="005D0F8F"/>
    <w:rsid w:val="005D2022"/>
    <w:rsid w:val="005D2128"/>
    <w:rsid w:val="005D2AB4"/>
    <w:rsid w:val="005D2F31"/>
    <w:rsid w:val="005D471A"/>
    <w:rsid w:val="005E04E7"/>
    <w:rsid w:val="005E266D"/>
    <w:rsid w:val="005E27E1"/>
    <w:rsid w:val="005E3ED5"/>
    <w:rsid w:val="005E4751"/>
    <w:rsid w:val="005E6D73"/>
    <w:rsid w:val="005F18C1"/>
    <w:rsid w:val="005F1CE6"/>
    <w:rsid w:val="005F66C3"/>
    <w:rsid w:val="00600976"/>
    <w:rsid w:val="00601169"/>
    <w:rsid w:val="00602339"/>
    <w:rsid w:val="00603EBF"/>
    <w:rsid w:val="00605454"/>
    <w:rsid w:val="006060DB"/>
    <w:rsid w:val="0060696A"/>
    <w:rsid w:val="00606F43"/>
    <w:rsid w:val="00612CCD"/>
    <w:rsid w:val="0061433F"/>
    <w:rsid w:val="00617116"/>
    <w:rsid w:val="00620632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76E04"/>
    <w:rsid w:val="00680D32"/>
    <w:rsid w:val="006811FE"/>
    <w:rsid w:val="00682350"/>
    <w:rsid w:val="00683D2E"/>
    <w:rsid w:val="006918CE"/>
    <w:rsid w:val="0069244E"/>
    <w:rsid w:val="00693739"/>
    <w:rsid w:val="00696739"/>
    <w:rsid w:val="00696C33"/>
    <w:rsid w:val="006A41B4"/>
    <w:rsid w:val="006A48C7"/>
    <w:rsid w:val="006A4949"/>
    <w:rsid w:val="006A4EFA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25C4"/>
    <w:rsid w:val="006E41AD"/>
    <w:rsid w:val="006E43C9"/>
    <w:rsid w:val="006E7CD7"/>
    <w:rsid w:val="006E7DBD"/>
    <w:rsid w:val="006F03BE"/>
    <w:rsid w:val="006F09CF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18CD"/>
    <w:rsid w:val="00714322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779DE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C5D38"/>
    <w:rsid w:val="007D1918"/>
    <w:rsid w:val="007D482E"/>
    <w:rsid w:val="007E05AE"/>
    <w:rsid w:val="007E1E7C"/>
    <w:rsid w:val="007F18B9"/>
    <w:rsid w:val="007F6943"/>
    <w:rsid w:val="008007DF"/>
    <w:rsid w:val="00805ECE"/>
    <w:rsid w:val="00810EC6"/>
    <w:rsid w:val="008126E2"/>
    <w:rsid w:val="00821E53"/>
    <w:rsid w:val="00830F9A"/>
    <w:rsid w:val="00832E5C"/>
    <w:rsid w:val="008335E7"/>
    <w:rsid w:val="00835F67"/>
    <w:rsid w:val="00837AD9"/>
    <w:rsid w:val="0084364B"/>
    <w:rsid w:val="00846A5B"/>
    <w:rsid w:val="00847CBE"/>
    <w:rsid w:val="008515D1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531A"/>
    <w:rsid w:val="008A6411"/>
    <w:rsid w:val="008B0D18"/>
    <w:rsid w:val="008B474D"/>
    <w:rsid w:val="008B6D79"/>
    <w:rsid w:val="008B7988"/>
    <w:rsid w:val="008B7FF1"/>
    <w:rsid w:val="008C4D65"/>
    <w:rsid w:val="008C5712"/>
    <w:rsid w:val="008C7935"/>
    <w:rsid w:val="008D43AA"/>
    <w:rsid w:val="008D47BE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2DD1"/>
    <w:rsid w:val="009131FD"/>
    <w:rsid w:val="009227B3"/>
    <w:rsid w:val="00926DB6"/>
    <w:rsid w:val="00927F77"/>
    <w:rsid w:val="00931335"/>
    <w:rsid w:val="00933DA4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691D"/>
    <w:rsid w:val="009A7EA3"/>
    <w:rsid w:val="009B2379"/>
    <w:rsid w:val="009B3678"/>
    <w:rsid w:val="009B7AA2"/>
    <w:rsid w:val="009C1E58"/>
    <w:rsid w:val="009C336A"/>
    <w:rsid w:val="009C5091"/>
    <w:rsid w:val="009C7AFE"/>
    <w:rsid w:val="009D22DB"/>
    <w:rsid w:val="009D2D11"/>
    <w:rsid w:val="009D6FC3"/>
    <w:rsid w:val="009D747A"/>
    <w:rsid w:val="009E0569"/>
    <w:rsid w:val="009E1382"/>
    <w:rsid w:val="009E1778"/>
    <w:rsid w:val="009E343C"/>
    <w:rsid w:val="009E4EA3"/>
    <w:rsid w:val="009F038B"/>
    <w:rsid w:val="009F0DA2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425A6"/>
    <w:rsid w:val="00A50CA3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7EB"/>
    <w:rsid w:val="00AB0854"/>
    <w:rsid w:val="00AB08BC"/>
    <w:rsid w:val="00AB2D47"/>
    <w:rsid w:val="00AC2B9D"/>
    <w:rsid w:val="00AC40B3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AF5547"/>
    <w:rsid w:val="00B0103D"/>
    <w:rsid w:val="00B0475F"/>
    <w:rsid w:val="00B14561"/>
    <w:rsid w:val="00B213C3"/>
    <w:rsid w:val="00B22076"/>
    <w:rsid w:val="00B22FAF"/>
    <w:rsid w:val="00B24AAD"/>
    <w:rsid w:val="00B25FA1"/>
    <w:rsid w:val="00B2720A"/>
    <w:rsid w:val="00B2746E"/>
    <w:rsid w:val="00B33931"/>
    <w:rsid w:val="00B346BF"/>
    <w:rsid w:val="00B350C5"/>
    <w:rsid w:val="00B367FF"/>
    <w:rsid w:val="00B41515"/>
    <w:rsid w:val="00B41D12"/>
    <w:rsid w:val="00B42992"/>
    <w:rsid w:val="00B44F98"/>
    <w:rsid w:val="00B46037"/>
    <w:rsid w:val="00B4694B"/>
    <w:rsid w:val="00B47607"/>
    <w:rsid w:val="00B47F2D"/>
    <w:rsid w:val="00B50B18"/>
    <w:rsid w:val="00B51574"/>
    <w:rsid w:val="00B5189D"/>
    <w:rsid w:val="00B5345B"/>
    <w:rsid w:val="00B544CD"/>
    <w:rsid w:val="00B555AC"/>
    <w:rsid w:val="00B55A31"/>
    <w:rsid w:val="00B56206"/>
    <w:rsid w:val="00B60A4F"/>
    <w:rsid w:val="00B615C7"/>
    <w:rsid w:val="00B616C9"/>
    <w:rsid w:val="00B6177D"/>
    <w:rsid w:val="00B6323A"/>
    <w:rsid w:val="00B63A2C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A7A07"/>
    <w:rsid w:val="00BB0EB3"/>
    <w:rsid w:val="00BB1BFF"/>
    <w:rsid w:val="00BB2937"/>
    <w:rsid w:val="00BB4CF8"/>
    <w:rsid w:val="00BB5486"/>
    <w:rsid w:val="00BB5BF7"/>
    <w:rsid w:val="00BC1E02"/>
    <w:rsid w:val="00BC5D04"/>
    <w:rsid w:val="00BC7A8D"/>
    <w:rsid w:val="00BD18FD"/>
    <w:rsid w:val="00BD40D6"/>
    <w:rsid w:val="00BD419F"/>
    <w:rsid w:val="00BD447A"/>
    <w:rsid w:val="00BD575F"/>
    <w:rsid w:val="00BD7CB4"/>
    <w:rsid w:val="00BE68FA"/>
    <w:rsid w:val="00BF0A7A"/>
    <w:rsid w:val="00BF3A87"/>
    <w:rsid w:val="00BF45F9"/>
    <w:rsid w:val="00BF55DE"/>
    <w:rsid w:val="00BF699D"/>
    <w:rsid w:val="00C0403E"/>
    <w:rsid w:val="00C04B1B"/>
    <w:rsid w:val="00C11894"/>
    <w:rsid w:val="00C11A44"/>
    <w:rsid w:val="00C1205B"/>
    <w:rsid w:val="00C13529"/>
    <w:rsid w:val="00C13966"/>
    <w:rsid w:val="00C1521C"/>
    <w:rsid w:val="00C215D3"/>
    <w:rsid w:val="00C239C6"/>
    <w:rsid w:val="00C23DAA"/>
    <w:rsid w:val="00C27188"/>
    <w:rsid w:val="00C30368"/>
    <w:rsid w:val="00C31249"/>
    <w:rsid w:val="00C3216E"/>
    <w:rsid w:val="00C3303E"/>
    <w:rsid w:val="00C33077"/>
    <w:rsid w:val="00C4092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45A8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5FCB"/>
    <w:rsid w:val="00C86F9E"/>
    <w:rsid w:val="00C87E6F"/>
    <w:rsid w:val="00C902C1"/>
    <w:rsid w:val="00C93F93"/>
    <w:rsid w:val="00CA0A7E"/>
    <w:rsid w:val="00CA1008"/>
    <w:rsid w:val="00CA24A2"/>
    <w:rsid w:val="00CA47D9"/>
    <w:rsid w:val="00CA5759"/>
    <w:rsid w:val="00CB00F2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0C0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1DC1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14E4"/>
    <w:rsid w:val="00D54F13"/>
    <w:rsid w:val="00D571C1"/>
    <w:rsid w:val="00D64254"/>
    <w:rsid w:val="00D70271"/>
    <w:rsid w:val="00D7194B"/>
    <w:rsid w:val="00D71D4E"/>
    <w:rsid w:val="00D74CA8"/>
    <w:rsid w:val="00D81795"/>
    <w:rsid w:val="00D819AC"/>
    <w:rsid w:val="00D8282C"/>
    <w:rsid w:val="00D85595"/>
    <w:rsid w:val="00D8566E"/>
    <w:rsid w:val="00D93B25"/>
    <w:rsid w:val="00D93DCC"/>
    <w:rsid w:val="00DA1170"/>
    <w:rsid w:val="00DA4D94"/>
    <w:rsid w:val="00DB2AE3"/>
    <w:rsid w:val="00DB2DF8"/>
    <w:rsid w:val="00DB4F5F"/>
    <w:rsid w:val="00DC0789"/>
    <w:rsid w:val="00DC1BE4"/>
    <w:rsid w:val="00DC324E"/>
    <w:rsid w:val="00DC39FD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47B20"/>
    <w:rsid w:val="00E50ABE"/>
    <w:rsid w:val="00E51E86"/>
    <w:rsid w:val="00E53299"/>
    <w:rsid w:val="00E555D6"/>
    <w:rsid w:val="00E57AC3"/>
    <w:rsid w:val="00E60287"/>
    <w:rsid w:val="00E6113C"/>
    <w:rsid w:val="00E6165D"/>
    <w:rsid w:val="00E65E17"/>
    <w:rsid w:val="00E7172E"/>
    <w:rsid w:val="00E71FD4"/>
    <w:rsid w:val="00E7621A"/>
    <w:rsid w:val="00E76A5A"/>
    <w:rsid w:val="00E76F0F"/>
    <w:rsid w:val="00E8383F"/>
    <w:rsid w:val="00E85812"/>
    <w:rsid w:val="00E907DC"/>
    <w:rsid w:val="00E97A8C"/>
    <w:rsid w:val="00EA2C37"/>
    <w:rsid w:val="00EA3F08"/>
    <w:rsid w:val="00EA7E09"/>
    <w:rsid w:val="00EB0281"/>
    <w:rsid w:val="00EB1324"/>
    <w:rsid w:val="00EB1460"/>
    <w:rsid w:val="00EC1C8F"/>
    <w:rsid w:val="00EC208A"/>
    <w:rsid w:val="00EC2C87"/>
    <w:rsid w:val="00EC5734"/>
    <w:rsid w:val="00EC5744"/>
    <w:rsid w:val="00EC6C91"/>
    <w:rsid w:val="00ED1A3F"/>
    <w:rsid w:val="00ED23F0"/>
    <w:rsid w:val="00ED3BC4"/>
    <w:rsid w:val="00ED59D5"/>
    <w:rsid w:val="00ED6A55"/>
    <w:rsid w:val="00EE1674"/>
    <w:rsid w:val="00EE20A7"/>
    <w:rsid w:val="00EE6E32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DE9"/>
    <w:rsid w:val="00F302B5"/>
    <w:rsid w:val="00F35AE8"/>
    <w:rsid w:val="00F37C99"/>
    <w:rsid w:val="00F403D1"/>
    <w:rsid w:val="00F43A5B"/>
    <w:rsid w:val="00F4472B"/>
    <w:rsid w:val="00F45DD2"/>
    <w:rsid w:val="00F5068D"/>
    <w:rsid w:val="00F51876"/>
    <w:rsid w:val="00F5610D"/>
    <w:rsid w:val="00F629ED"/>
    <w:rsid w:val="00F6335D"/>
    <w:rsid w:val="00F66327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31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6CA9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615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615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615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15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15C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143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BC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31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6CA9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615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615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615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15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15C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143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BC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8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8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164949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ADEF4-1E72-482F-9B8C-43BADE44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498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Fondaction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20</cp:revision>
  <cp:lastPrinted>2012-11-02T15:02:00Z</cp:lastPrinted>
  <dcterms:created xsi:type="dcterms:W3CDTF">2012-11-14T14:11:00Z</dcterms:created>
  <dcterms:modified xsi:type="dcterms:W3CDTF">2013-03-07T18:45:00Z</dcterms:modified>
</cp:coreProperties>
</file>