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8E" w:rsidRPr="00EB548E" w:rsidRDefault="00F033EF" w:rsidP="000461CE">
      <w:pPr>
        <w:spacing w:line="240" w:lineRule="auto"/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EB548E">
        <w:rPr>
          <w:b/>
          <w:color w:val="00B050"/>
          <w:sz w:val="28"/>
          <w:szCs w:val="28"/>
        </w:rPr>
        <w:t>Plan d’action BNQ</w:t>
      </w:r>
      <w:r w:rsidRPr="00EB548E">
        <w:rPr>
          <w:color w:val="00B050"/>
          <w:sz w:val="28"/>
          <w:szCs w:val="28"/>
        </w:rPr>
        <w:t> </w:t>
      </w:r>
      <w:r w:rsidR="00EB548E" w:rsidRPr="00EB548E">
        <w:rPr>
          <w:b/>
          <w:color w:val="00B050"/>
          <w:sz w:val="28"/>
          <w:szCs w:val="28"/>
        </w:rPr>
        <w:t>21000</w:t>
      </w:r>
      <w:r w:rsidRPr="00EB548E">
        <w:rPr>
          <w:b/>
          <w:color w:val="00B050"/>
          <w:sz w:val="28"/>
          <w:szCs w:val="28"/>
        </w:rPr>
        <w:t xml:space="preserve"> (simplifié)</w:t>
      </w:r>
    </w:p>
    <w:p w:rsidR="00AB0854" w:rsidRPr="00011FEE" w:rsidRDefault="00F56B26" w:rsidP="000461CE">
      <w:pPr>
        <w:spacing w:after="0" w:line="240" w:lineRule="auto"/>
        <w:jc w:val="both"/>
        <w:rPr>
          <w:rFonts w:cstheme="minorHAnsi"/>
          <w:b/>
        </w:rPr>
      </w:pPr>
      <w:r w:rsidRPr="00011FEE">
        <w:rPr>
          <w:rFonts w:cstheme="minorHAnsi"/>
          <w:b/>
        </w:rPr>
        <w:t>Objectif</w:t>
      </w:r>
      <w:r w:rsidR="00AB0854" w:rsidRPr="00011FEE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EB548E" w:rsidTr="00AB0854">
        <w:tc>
          <w:tcPr>
            <w:tcW w:w="10940" w:type="dxa"/>
          </w:tcPr>
          <w:p w:rsidR="001464F4" w:rsidRPr="00EB548E" w:rsidRDefault="00A75FB6" w:rsidP="000461CE">
            <w:pPr>
              <w:jc w:val="both"/>
              <w:rPr>
                <w:rFonts w:cstheme="minorHAnsi"/>
              </w:rPr>
            </w:pPr>
            <w:r w:rsidRPr="00EB548E">
              <w:rPr>
                <w:rFonts w:cs="Arial"/>
                <w:sz w:val="20"/>
                <w:szCs w:val="20"/>
                <w:lang w:val="fr-FR"/>
              </w:rPr>
              <w:t xml:space="preserve">Le plan d’action </w:t>
            </w:r>
            <w:r w:rsidR="00F56B26" w:rsidRPr="00EB548E">
              <w:rPr>
                <w:rFonts w:cs="Arial"/>
                <w:sz w:val="20"/>
                <w:szCs w:val="20"/>
                <w:lang w:val="fr-FR"/>
              </w:rPr>
              <w:t>BNQ</w:t>
            </w:r>
            <w:r w:rsidR="00F56B26" w:rsidRPr="00EB548E">
              <w:t> </w:t>
            </w:r>
            <w:r w:rsidRPr="00EB548E">
              <w:rPr>
                <w:rFonts w:cs="Arial"/>
                <w:sz w:val="20"/>
                <w:szCs w:val="20"/>
                <w:lang w:val="fr-FR"/>
              </w:rPr>
              <w:t xml:space="preserve">21000 vise à présenter l’ensemble des moyens à mettre en œuvre pour </w:t>
            </w:r>
            <w:r w:rsidR="00552731" w:rsidRPr="00EB548E">
              <w:rPr>
                <w:rFonts w:cs="Arial"/>
                <w:sz w:val="20"/>
                <w:szCs w:val="20"/>
                <w:lang w:val="fr-FR"/>
              </w:rPr>
              <w:t>atteindre</w:t>
            </w:r>
            <w:r w:rsidRPr="00EB548E">
              <w:rPr>
                <w:rFonts w:cs="Arial"/>
                <w:sz w:val="20"/>
                <w:szCs w:val="20"/>
                <w:lang w:val="fr-FR"/>
              </w:rPr>
              <w:t xml:space="preserve"> les objectifs de l’organisation tout en respectant l’échéancier</w:t>
            </w:r>
            <w:r w:rsidR="00F56B26" w:rsidRPr="00EB548E">
              <w:rPr>
                <w:rFonts w:cs="Arial"/>
                <w:sz w:val="20"/>
                <w:szCs w:val="20"/>
                <w:lang w:val="fr-FR"/>
              </w:rPr>
              <w:t>.</w:t>
            </w:r>
          </w:p>
        </w:tc>
      </w:tr>
    </w:tbl>
    <w:p w:rsidR="00F033EF" w:rsidRDefault="00F033EF" w:rsidP="000461CE">
      <w:pPr>
        <w:spacing w:after="0" w:line="240" w:lineRule="auto"/>
        <w:jc w:val="both"/>
        <w:rPr>
          <w:rFonts w:cstheme="minorHAnsi"/>
          <w:b/>
        </w:rPr>
      </w:pPr>
    </w:p>
    <w:p w:rsidR="00AB0854" w:rsidRPr="00011FEE" w:rsidRDefault="00F56B26" w:rsidP="000461CE">
      <w:pPr>
        <w:spacing w:after="0" w:line="240" w:lineRule="auto"/>
        <w:jc w:val="both"/>
        <w:rPr>
          <w:rFonts w:cstheme="minorHAnsi"/>
          <w:b/>
        </w:rPr>
      </w:pPr>
      <w:r w:rsidRPr="00011FEE">
        <w:rPr>
          <w:rFonts w:cstheme="minorHAnsi"/>
          <w:b/>
        </w:rPr>
        <w:t>Instruction</w:t>
      </w:r>
      <w:r w:rsidR="00AB0854" w:rsidRPr="00011FEE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EB548E" w:rsidTr="00645FD7">
        <w:trPr>
          <w:trHeight w:val="3840"/>
        </w:trPr>
        <w:tc>
          <w:tcPr>
            <w:tcW w:w="10940" w:type="dxa"/>
          </w:tcPr>
          <w:p w:rsidR="00F851F8" w:rsidRPr="00EB548E" w:rsidRDefault="00F851F8" w:rsidP="000461CE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B548E">
              <w:rPr>
                <w:rFonts w:cs="Arial"/>
                <w:sz w:val="20"/>
                <w:szCs w:val="20"/>
                <w:lang w:val="fr-FR"/>
              </w:rPr>
              <w:t>Lorsque l’organisation a sélectionné</w:t>
            </w:r>
            <w:r w:rsidR="00F56B26" w:rsidRPr="00EB548E">
              <w:rPr>
                <w:rFonts w:cs="Arial"/>
                <w:sz w:val="20"/>
                <w:szCs w:val="20"/>
                <w:lang w:val="fr-FR"/>
              </w:rPr>
              <w:t xml:space="preserve"> ses enjeux prioritaires (étape</w:t>
            </w:r>
            <w:r w:rsidR="00F56B26" w:rsidRPr="00EB548E">
              <w:t> </w:t>
            </w:r>
            <w:r w:rsidRPr="00EB548E">
              <w:rPr>
                <w:rFonts w:cs="Arial"/>
                <w:sz w:val="20"/>
                <w:szCs w:val="20"/>
                <w:lang w:val="fr-FR"/>
              </w:rPr>
              <w:t>4), elle doit définir ses objectifs de progression et déterminer les actions q</w:t>
            </w:r>
            <w:r w:rsidR="00F56B26" w:rsidRPr="00EB548E">
              <w:rPr>
                <w:rFonts w:cs="Arial"/>
                <w:sz w:val="20"/>
                <w:szCs w:val="20"/>
                <w:lang w:val="fr-FR"/>
              </w:rPr>
              <w:t>ui lui permettront d’atteindre</w:t>
            </w:r>
            <w:r w:rsidRPr="00EB548E">
              <w:rPr>
                <w:rFonts w:cs="Arial"/>
                <w:sz w:val="20"/>
                <w:szCs w:val="20"/>
                <w:lang w:val="fr-FR"/>
              </w:rPr>
              <w:t xml:space="preserve"> ses objectifs dans un plan d’action. Avant de </w:t>
            </w:r>
            <w:r w:rsidR="00552731" w:rsidRPr="00EB548E">
              <w:rPr>
                <w:rFonts w:cs="Arial"/>
                <w:sz w:val="20"/>
                <w:szCs w:val="20"/>
                <w:lang w:val="fr-FR"/>
              </w:rPr>
              <w:t>commencer</w:t>
            </w:r>
            <w:r w:rsidRPr="00EB548E">
              <w:rPr>
                <w:rFonts w:cs="Arial"/>
                <w:sz w:val="20"/>
                <w:szCs w:val="20"/>
                <w:lang w:val="fr-FR"/>
              </w:rPr>
              <w:t xml:space="preserve"> la mise en œuvre des actions, l’organisation devra bâtir un tableau de bord pour constater sa progression et rendre des comptes sur l’avancement de sa mise en œuvre.</w:t>
            </w:r>
          </w:p>
          <w:p w:rsidR="00F851F8" w:rsidRPr="00EB548E" w:rsidRDefault="00F851F8" w:rsidP="000461CE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</w:p>
          <w:p w:rsidR="00F851F8" w:rsidRDefault="00F56B26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Le plan d’action BNQ</w:t>
            </w:r>
            <w:r w:rsidRPr="00EB548E">
              <w:t> </w:t>
            </w:r>
            <w:r w:rsidR="00F851F8" w:rsidRPr="00EB548E">
              <w:rPr>
                <w:rFonts w:cs="Arial"/>
                <w:sz w:val="20"/>
                <w:szCs w:val="20"/>
              </w:rPr>
              <w:t>21000 considère les</w:t>
            </w:r>
            <w:r w:rsidRPr="00EB548E">
              <w:rPr>
                <w:rFonts w:cs="Arial"/>
                <w:sz w:val="20"/>
                <w:szCs w:val="20"/>
              </w:rPr>
              <w:t xml:space="preserve"> quatre</w:t>
            </w:r>
            <w:r w:rsidRPr="00EB548E">
              <w:t> </w:t>
            </w:r>
            <w:r w:rsidR="00F851F8" w:rsidRPr="00EB548E">
              <w:rPr>
                <w:rFonts w:cs="Arial"/>
                <w:sz w:val="20"/>
                <w:szCs w:val="20"/>
              </w:rPr>
              <w:t>dimensions du développement durable, soit économique, environnementale, sociale et transversale. Il permet à l’entreprise de définir ses actions en lien avec les enjeux priorita</w:t>
            </w:r>
            <w:r w:rsidRPr="00EB548E">
              <w:rPr>
                <w:rFonts w:cs="Arial"/>
                <w:sz w:val="20"/>
                <w:szCs w:val="20"/>
              </w:rPr>
              <w:t xml:space="preserve">ires parmi les vingt-et-un </w:t>
            </w:r>
            <w:r w:rsidR="00F851F8" w:rsidRPr="00EB548E">
              <w:rPr>
                <w:rFonts w:cs="Arial"/>
                <w:sz w:val="20"/>
                <w:szCs w:val="20"/>
              </w:rPr>
              <w:t>enjeux du Guide</w:t>
            </w:r>
            <w:r w:rsidRPr="00EB548E">
              <w:rPr>
                <w:rFonts w:cs="Arial"/>
                <w:sz w:val="20"/>
                <w:szCs w:val="20"/>
              </w:rPr>
              <w:t xml:space="preserve"> BNQ</w:t>
            </w:r>
            <w:r w:rsidRPr="00EB548E">
              <w:t> </w:t>
            </w:r>
            <w:r w:rsidRPr="00EB548E">
              <w:rPr>
                <w:rFonts w:cs="Arial"/>
                <w:sz w:val="20"/>
                <w:szCs w:val="20"/>
              </w:rPr>
              <w:t>21000. Le plan d’action BNQ</w:t>
            </w:r>
            <w:r w:rsidRPr="00EB548E">
              <w:t> 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21000 précise la participation de l’organisation à l’atteinte des objectifs </w:t>
            </w:r>
            <w:r w:rsidRPr="00EB548E">
              <w:rPr>
                <w:rFonts w:cs="Arial"/>
                <w:sz w:val="20"/>
                <w:szCs w:val="20"/>
              </w:rPr>
              <w:t>à la suite de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la priori</w:t>
            </w:r>
            <w:r w:rsidRPr="00EB548E">
              <w:rPr>
                <w:rFonts w:cs="Arial"/>
                <w:sz w:val="20"/>
                <w:szCs w:val="20"/>
              </w:rPr>
              <w:t>sation de ses enjeux.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851F8" w:rsidRPr="00EB548E" w:rsidRDefault="00F851F8" w:rsidP="000461C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Il faut rappeler que le plan d’action doit être étroitement relié à :</w:t>
            </w:r>
          </w:p>
          <w:p w:rsidR="00F851F8" w:rsidRPr="00EB548E" w:rsidRDefault="00F56B26" w:rsidP="000461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</w:t>
            </w:r>
            <w:r w:rsidR="00F851F8" w:rsidRPr="00EB548E">
              <w:rPr>
                <w:rFonts w:cs="Arial"/>
                <w:sz w:val="20"/>
                <w:szCs w:val="20"/>
              </w:rPr>
              <w:t>a mission de l’organisation</w:t>
            </w:r>
            <w:r w:rsidRPr="00EB548E">
              <w:rPr>
                <w:rFonts w:cs="Arial"/>
                <w:sz w:val="20"/>
                <w:szCs w:val="20"/>
              </w:rPr>
              <w:t>;</w:t>
            </w:r>
          </w:p>
          <w:p w:rsidR="00F851F8" w:rsidRPr="00EB548E" w:rsidRDefault="00F56B26" w:rsidP="000461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72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</w:t>
            </w:r>
            <w:r w:rsidR="00F851F8" w:rsidRPr="00EB548E">
              <w:rPr>
                <w:rFonts w:cs="Arial"/>
                <w:sz w:val="20"/>
                <w:szCs w:val="20"/>
              </w:rPr>
              <w:t>a capacité de l’organisation à atteindre l’ensemble de ses objectifs</w:t>
            </w:r>
            <w:r w:rsidRPr="00EB548E">
              <w:rPr>
                <w:rFonts w:cs="Arial"/>
                <w:sz w:val="20"/>
                <w:szCs w:val="20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72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la mise en œuvre d’actions qui découlent des principes de développement durable</w:t>
            </w:r>
            <w:r w:rsidR="00F56B26"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F851F8" w:rsidP="000461C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  <w:p w:rsidR="00F851F8" w:rsidRDefault="00F56B26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Le plan d’action BNQ</w:t>
            </w:r>
            <w:r w:rsidRPr="00EB548E">
              <w:t> </w:t>
            </w:r>
            <w:r w:rsidR="00F851F8" w:rsidRPr="00EB548E">
              <w:rPr>
                <w:rFonts w:cs="Arial"/>
                <w:sz w:val="20"/>
                <w:szCs w:val="20"/>
              </w:rPr>
              <w:t>21000 sera composé de nouveaux projets ou de projets en cours dont les paramètres seront suivis pour contribuer à l’atteinte des objectifs en lien avec les enjeux prioritaires. Ces projets pourraient se définir, par exemple, par la révisi</w:t>
            </w:r>
            <w:r w:rsidRPr="00EB548E">
              <w:rPr>
                <w:rFonts w:cs="Arial"/>
                <w:sz w:val="20"/>
                <w:szCs w:val="20"/>
              </w:rPr>
              <w:t>on de politiques, de programmes et de règles et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</w:t>
            </w:r>
            <w:r w:rsidRPr="00EB548E">
              <w:rPr>
                <w:rFonts w:cs="Arial"/>
                <w:sz w:val="20"/>
                <w:szCs w:val="20"/>
              </w:rPr>
              <w:t xml:space="preserve">par </w:t>
            </w:r>
            <w:r w:rsidR="00F851F8" w:rsidRPr="00EB548E">
              <w:rPr>
                <w:rFonts w:cs="Arial"/>
                <w:sz w:val="20"/>
                <w:szCs w:val="20"/>
              </w:rPr>
              <w:t>de</w:t>
            </w:r>
            <w:r w:rsidRPr="00EB548E">
              <w:rPr>
                <w:rFonts w:cs="Arial"/>
                <w:sz w:val="20"/>
                <w:szCs w:val="20"/>
              </w:rPr>
              <w:t xml:space="preserve"> nouvelles pratiques de gestion et d’innovation. </w:t>
            </w:r>
            <w:r w:rsidR="00F851F8" w:rsidRPr="00EB548E">
              <w:rPr>
                <w:rFonts w:cs="Arial"/>
                <w:sz w:val="20"/>
                <w:szCs w:val="20"/>
              </w:rPr>
              <w:t>Il est a</w:t>
            </w:r>
            <w:r w:rsidRPr="00EB548E">
              <w:rPr>
                <w:rFonts w:cs="Arial"/>
                <w:sz w:val="20"/>
                <w:szCs w:val="20"/>
              </w:rPr>
              <w:t>ussi possible d’agir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auprès du personnel, des clients, des fournisseurs et de la communauté</w:t>
            </w:r>
            <w:r w:rsidRPr="00EB548E">
              <w:rPr>
                <w:rFonts w:cs="Arial"/>
                <w:sz w:val="20"/>
                <w:szCs w:val="20"/>
              </w:rPr>
              <w:t xml:space="preserve"> en ce qui concerne les opérations</w:t>
            </w:r>
            <w:r w:rsidR="00F851F8" w:rsidRPr="00EB548E">
              <w:rPr>
                <w:rFonts w:cs="Arial"/>
                <w:sz w:val="20"/>
                <w:szCs w:val="20"/>
              </w:rPr>
              <w:t>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851F8" w:rsidRDefault="00F851F8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Le plan d’ac</w:t>
            </w:r>
            <w:r w:rsidR="00F56B26" w:rsidRPr="00EB548E">
              <w:rPr>
                <w:rFonts w:cs="Arial"/>
                <w:sz w:val="20"/>
                <w:szCs w:val="20"/>
              </w:rPr>
              <w:t>tion BNQ</w:t>
            </w:r>
            <w:r w:rsidR="00F56B26" w:rsidRPr="00EB548E">
              <w:t> </w:t>
            </w:r>
            <w:r w:rsidRPr="00EB548E">
              <w:rPr>
                <w:rFonts w:cs="Arial"/>
                <w:sz w:val="20"/>
                <w:szCs w:val="20"/>
              </w:rPr>
              <w:t>21000 est un outil d’aide pour atteindre les objectifs de l’organisation d</w:t>
            </w:r>
            <w:r w:rsidR="00F56B26" w:rsidRPr="00EB548E">
              <w:rPr>
                <w:rFonts w:cs="Arial"/>
                <w:sz w:val="20"/>
                <w:szCs w:val="20"/>
              </w:rPr>
              <w:t>ans le cadre de la Démarche BNQ</w:t>
            </w:r>
            <w:r w:rsidR="00F56B26" w:rsidRPr="00EB548E">
              <w:t> </w:t>
            </w:r>
            <w:r w:rsidRPr="00EB548E">
              <w:rPr>
                <w:rFonts w:cs="Arial"/>
                <w:sz w:val="20"/>
                <w:szCs w:val="20"/>
              </w:rPr>
              <w:t>21000 pour progresser dans une perspective de développement durable. Le plan d’action permettra de faciliter l’analyse des actions lorsque viendra le temps des bilans à l’aide du tableau de bord.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CD0C8A" w:rsidRDefault="00CD0C8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>LES GRANDES RÈGLES À RESPECTER POU</w:t>
            </w:r>
            <w:r w:rsidR="00F56B26" w:rsidRPr="00EB548E">
              <w:rPr>
                <w:rFonts w:cs="Arial"/>
                <w:b/>
                <w:sz w:val="20"/>
                <w:szCs w:val="20"/>
              </w:rPr>
              <w:t>R ÉLABORER LE PLAN D’ACTION BNQ</w:t>
            </w:r>
            <w:r w:rsidR="00F56B26" w:rsidRPr="00EB548E">
              <w:t> </w:t>
            </w:r>
            <w:r w:rsidRPr="00EB548E">
              <w:rPr>
                <w:rFonts w:cs="Arial"/>
                <w:b/>
                <w:sz w:val="20"/>
                <w:szCs w:val="20"/>
              </w:rPr>
              <w:t>21000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CD0C8A" w:rsidRPr="00EB548E" w:rsidRDefault="00F56B26" w:rsidP="000461C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b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>Extrait du guide BNQ</w:t>
            </w:r>
            <w:r w:rsidRPr="00EB548E">
              <w:t> </w:t>
            </w:r>
            <w:r w:rsidR="00CD0C8A" w:rsidRPr="00EB548E">
              <w:rPr>
                <w:rFonts w:cs="Arial"/>
                <w:b/>
                <w:sz w:val="20"/>
                <w:szCs w:val="20"/>
              </w:rPr>
              <w:t>21000 pour le processus de mise en œuvre (article 6.5.2.2) :</w:t>
            </w:r>
          </w:p>
          <w:p w:rsidR="00CD0C8A" w:rsidRDefault="00CD0C8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 xml:space="preserve">Le plan d’action est élaboré en cohérence avec </w:t>
            </w:r>
            <w:r w:rsidR="00F56B26" w:rsidRPr="00EB548E">
              <w:rPr>
                <w:rFonts w:cs="Arial"/>
                <w:i/>
                <w:sz w:val="20"/>
                <w:szCs w:val="20"/>
              </w:rPr>
              <w:t xml:space="preserve">le travail de priorisation. </w:t>
            </w:r>
            <w:r w:rsidRPr="00EB548E">
              <w:rPr>
                <w:rFonts w:cs="Arial"/>
                <w:i/>
                <w:sz w:val="20"/>
                <w:szCs w:val="20"/>
              </w:rPr>
              <w:t>Aux personnes qui ont participé à la priorisation viennent s’ajouter des ressources qui permettent d’él</w:t>
            </w:r>
            <w:r w:rsidR="00F56B26" w:rsidRPr="00EB548E">
              <w:rPr>
                <w:rFonts w:cs="Arial"/>
                <w:i/>
                <w:sz w:val="20"/>
                <w:szCs w:val="20"/>
              </w:rPr>
              <w:t>argir les champs de compétences</w:t>
            </w:r>
            <w:r w:rsidRPr="00EB548E">
              <w:rPr>
                <w:rFonts w:cs="Arial"/>
                <w:i/>
                <w:sz w:val="20"/>
                <w:szCs w:val="20"/>
              </w:rPr>
              <w:t xml:space="preserve"> afin d’élaborer un plan d’action qui tienne compte de la réalité de l’organisation et de ses besoins, et ce, pou</w:t>
            </w:r>
            <w:r w:rsidR="00F56B26" w:rsidRPr="00EB548E">
              <w:rPr>
                <w:rFonts w:cs="Arial"/>
                <w:i/>
                <w:sz w:val="20"/>
                <w:szCs w:val="20"/>
              </w:rPr>
              <w:t xml:space="preserve">r chacune des actions ciblées. </w:t>
            </w:r>
            <w:r w:rsidRPr="00EB548E">
              <w:rPr>
                <w:rFonts w:cs="Arial"/>
                <w:i/>
                <w:sz w:val="20"/>
                <w:szCs w:val="20"/>
              </w:rPr>
              <w:t>Pour être effectif, le plan d’action doit recevoir l’approbation de la haute direction de l’organisation.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20"/>
                <w:szCs w:val="20"/>
              </w:rPr>
            </w:pPr>
          </w:p>
          <w:p w:rsidR="00CD0C8A" w:rsidRDefault="00CD0C8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 xml:space="preserve">Bien attacher la démarche de développement durable au plan d’affaires est un des atouts les plus solides pour convaincre et </w:t>
            </w:r>
            <w:r w:rsidR="00927441" w:rsidRPr="00EB548E">
              <w:rPr>
                <w:rFonts w:cs="Arial"/>
                <w:i/>
                <w:sz w:val="20"/>
                <w:szCs w:val="20"/>
              </w:rPr>
              <w:t>pour agir de manière coordonnée.</w:t>
            </w:r>
            <w:r w:rsidRPr="00EB548E">
              <w:rPr>
                <w:rFonts w:cs="Arial"/>
                <w:i/>
                <w:sz w:val="20"/>
                <w:szCs w:val="20"/>
              </w:rPr>
              <w:t xml:space="preserve"> Idéalement, il est recommandé que le plan d’action découle directement du plan d’affaires ou du plan stratégique.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20"/>
                <w:szCs w:val="20"/>
              </w:rPr>
            </w:pPr>
          </w:p>
          <w:p w:rsidR="00CD0C8A" w:rsidRPr="00EB548E" w:rsidRDefault="00CD0C8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 xml:space="preserve">Il convient de souligner que plus un plan </w:t>
            </w:r>
            <w:proofErr w:type="gramStart"/>
            <w:r w:rsidRPr="00EB548E">
              <w:rPr>
                <w:rFonts w:cs="Arial"/>
                <w:i/>
                <w:sz w:val="20"/>
                <w:szCs w:val="20"/>
              </w:rPr>
              <w:t>d’action est</w:t>
            </w:r>
            <w:proofErr w:type="gramEnd"/>
            <w:r w:rsidRPr="00EB548E">
              <w:rPr>
                <w:rFonts w:cs="Arial"/>
                <w:i/>
                <w:sz w:val="20"/>
                <w:szCs w:val="20"/>
              </w:rPr>
              <w:t xml:space="preserve"> précis, plus sa mise en œuvre et son suiv</w:t>
            </w:r>
            <w:r w:rsidR="00927441" w:rsidRPr="00EB548E">
              <w:rPr>
                <w:rFonts w:cs="Arial"/>
                <w:i/>
                <w:sz w:val="20"/>
                <w:szCs w:val="20"/>
              </w:rPr>
              <w:t xml:space="preserve">i seront faciles et efficaces. </w:t>
            </w:r>
            <w:r w:rsidRPr="00EB548E">
              <w:rPr>
                <w:rFonts w:cs="Arial"/>
                <w:i/>
                <w:sz w:val="20"/>
                <w:szCs w:val="20"/>
              </w:rPr>
              <w:t>Il importe donc de préciser :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a personne responsable de coordonner ou de réaliser, ou les deux, chaque action (Qui?)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es gestes à faire (Quoi?)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es objectifs à atteindre (Jusqu’où?)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lastRenderedPageBreak/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a détermination des moyens po</w:t>
            </w:r>
            <w:r w:rsidRPr="00EB548E">
              <w:rPr>
                <w:rFonts w:cs="Arial"/>
                <w:i/>
                <w:sz w:val="20"/>
                <w:szCs w:val="20"/>
              </w:rPr>
              <w:t>ur y parvenir (C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omment?)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a méthode de suivi inclua</w:t>
            </w:r>
            <w:r w:rsidRPr="00EB548E">
              <w:rPr>
                <w:rFonts w:cs="Arial"/>
                <w:i/>
                <w:sz w:val="20"/>
                <w:szCs w:val="20"/>
              </w:rPr>
              <w:t>nt les outils et la fréquence (C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omment?)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un calendrier (Q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uand?)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927441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les collaborateurs (A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vec qui?)</w:t>
            </w:r>
            <w:r w:rsidRPr="00EB548E">
              <w:rPr>
                <w:rFonts w:cs="Arial"/>
                <w:i/>
                <w:sz w:val="20"/>
                <w:szCs w:val="20"/>
              </w:rPr>
              <w:t>;</w:t>
            </w:r>
          </w:p>
          <w:p w:rsidR="00CD0C8A" w:rsidRPr="00EB548E" w:rsidRDefault="00F673F9" w:rsidP="000461C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/>
              <w:jc w:val="both"/>
              <w:rPr>
                <w:rFonts w:cs="Arial"/>
                <w:i/>
                <w:sz w:val="20"/>
                <w:szCs w:val="20"/>
              </w:rPr>
            </w:pPr>
            <w:r w:rsidRPr="00EB548E">
              <w:rPr>
                <w:rFonts w:cs="Arial"/>
                <w:i/>
                <w:sz w:val="20"/>
                <w:szCs w:val="20"/>
              </w:rPr>
              <w:t>l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 xml:space="preserve">es </w:t>
            </w:r>
            <w:r w:rsidR="00552731" w:rsidRPr="00EB548E">
              <w:rPr>
                <w:rFonts w:cs="Arial"/>
                <w:i/>
                <w:sz w:val="20"/>
                <w:szCs w:val="20"/>
              </w:rPr>
              <w:t>couts</w:t>
            </w:r>
            <w:r w:rsidRPr="00EB548E">
              <w:rPr>
                <w:rFonts w:cs="Arial"/>
                <w:i/>
                <w:sz w:val="20"/>
                <w:szCs w:val="20"/>
              </w:rPr>
              <w:t xml:space="preserve"> estimés (C</w:t>
            </w:r>
            <w:r w:rsidR="00CD0C8A" w:rsidRPr="00EB548E">
              <w:rPr>
                <w:rFonts w:cs="Arial"/>
                <w:i/>
                <w:sz w:val="20"/>
                <w:szCs w:val="20"/>
              </w:rPr>
              <w:t>ombien?)</w:t>
            </w:r>
            <w:r w:rsidR="00927441" w:rsidRPr="00EB548E">
              <w:rPr>
                <w:rFonts w:cs="Arial"/>
                <w:i/>
                <w:sz w:val="20"/>
                <w:szCs w:val="20"/>
              </w:rPr>
              <w:t>.</w:t>
            </w:r>
          </w:p>
          <w:p w:rsidR="005530FE" w:rsidRPr="00EB548E" w:rsidRDefault="005530FE" w:rsidP="000461C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  <w:p w:rsidR="00CD0C8A" w:rsidRDefault="00CD0C8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 xml:space="preserve">QUELLE EST LA DURÉE </w:t>
            </w:r>
            <w:r w:rsidR="00927441" w:rsidRPr="00EB548E">
              <w:rPr>
                <w:rFonts w:cs="Arial"/>
                <w:b/>
                <w:sz w:val="20"/>
                <w:szCs w:val="20"/>
              </w:rPr>
              <w:t>OPTIMALE D’UN PLAN D’ACTION BNQ</w:t>
            </w:r>
            <w:r w:rsidR="00927441" w:rsidRPr="00EB548E">
              <w:t> </w:t>
            </w:r>
            <w:r w:rsidRPr="00EB548E">
              <w:rPr>
                <w:rFonts w:cs="Arial"/>
                <w:b/>
                <w:sz w:val="20"/>
                <w:szCs w:val="20"/>
              </w:rPr>
              <w:t>21000?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F851F8" w:rsidRPr="00EB548E" w:rsidRDefault="00F851F8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 xml:space="preserve">Selon le contexte de l’entreprise, la durée du plan d’action peut varier. Idéalement, le plan d’action devrait avoir une durée d’environ </w:t>
            </w:r>
            <w:r w:rsidR="00927441" w:rsidRPr="00EB548E">
              <w:rPr>
                <w:rFonts w:cs="Arial"/>
                <w:sz w:val="20"/>
                <w:szCs w:val="20"/>
              </w:rPr>
              <w:t>deux</w:t>
            </w:r>
            <w:r w:rsidR="00927441" w:rsidRPr="00EB548E">
              <w:t> </w:t>
            </w:r>
            <w:r w:rsidRPr="00EB548E">
              <w:rPr>
                <w:rFonts w:cs="Arial"/>
                <w:sz w:val="20"/>
                <w:szCs w:val="20"/>
              </w:rPr>
              <w:t>ans et couvrir la période prévue par un accompagnement stratégique externe. Par ailleurs, une entre</w:t>
            </w:r>
            <w:r w:rsidR="00927441" w:rsidRPr="00EB548E">
              <w:rPr>
                <w:rFonts w:cs="Arial"/>
                <w:sz w:val="20"/>
                <w:szCs w:val="20"/>
              </w:rPr>
              <w:t>prise qui se situe entre deux</w:t>
            </w:r>
            <w:r w:rsidR="00927441" w:rsidRPr="00EB548E">
              <w:t> </w:t>
            </w:r>
            <w:r w:rsidRPr="00EB548E">
              <w:rPr>
                <w:rFonts w:cs="Arial"/>
                <w:sz w:val="20"/>
                <w:szCs w:val="20"/>
              </w:rPr>
              <w:t>périodes d’exercice de planification peut prévoir un plan d’action parallèle jusqu’au terme de l’exercice et permettre un a</w:t>
            </w:r>
            <w:r w:rsidR="00927441" w:rsidRPr="00EB548E">
              <w:rPr>
                <w:rFonts w:cs="Arial"/>
                <w:sz w:val="20"/>
                <w:szCs w:val="20"/>
              </w:rPr>
              <w:t>rrimage lors du nouvel exercice</w:t>
            </w:r>
            <w:r w:rsidR="00F673F9" w:rsidRPr="00EB548E">
              <w:rPr>
                <w:rFonts w:cs="Arial"/>
                <w:sz w:val="20"/>
                <w:szCs w:val="20"/>
              </w:rPr>
              <w:t>, duquel</w:t>
            </w:r>
            <w:r w:rsidRPr="00EB548E">
              <w:rPr>
                <w:rFonts w:cs="Arial"/>
                <w:sz w:val="20"/>
                <w:szCs w:val="20"/>
              </w:rPr>
              <w:t xml:space="preserve"> découlera une planification de développement durable.</w:t>
            </w:r>
          </w:p>
          <w:p w:rsidR="00F033EF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2E3B64" w:rsidRDefault="00927441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>LE MODÈLE DU PLAN D’ACTION BNQ</w:t>
            </w:r>
            <w:r w:rsidRPr="00EB548E">
              <w:t> </w:t>
            </w:r>
            <w:r w:rsidR="002E3B64" w:rsidRPr="00EB548E">
              <w:rPr>
                <w:rFonts w:cs="Arial"/>
                <w:b/>
                <w:sz w:val="20"/>
                <w:szCs w:val="20"/>
              </w:rPr>
              <w:t>21000 (SIMPLIFIÉ)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2E3B64" w:rsidRDefault="002E3B64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Voici les composantes du pla</w:t>
            </w:r>
            <w:r w:rsidR="00927441" w:rsidRPr="00EB548E">
              <w:rPr>
                <w:rFonts w:cs="Arial"/>
                <w:sz w:val="20"/>
                <w:szCs w:val="20"/>
              </w:rPr>
              <w:t>n d’action et leur définition.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851F8" w:rsidRPr="00EB548E" w:rsidRDefault="00927441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 xml:space="preserve">ACTIONS ET </w:t>
            </w:r>
            <w:r w:rsidR="00F851F8" w:rsidRPr="00EB548E">
              <w:rPr>
                <w:rFonts w:cs="Arial"/>
                <w:b/>
                <w:sz w:val="20"/>
                <w:szCs w:val="20"/>
              </w:rPr>
              <w:t xml:space="preserve">MOYENS : </w:t>
            </w:r>
            <w:r w:rsidR="00F851F8" w:rsidRPr="00EB548E">
              <w:rPr>
                <w:rFonts w:eastAsia="Times New Roman" w:cs="Arial"/>
                <w:color w:val="000000"/>
                <w:sz w:val="20"/>
                <w:szCs w:val="20"/>
                <w:lang w:eastAsia="fr-CA"/>
              </w:rPr>
              <w:t xml:space="preserve">Pour chacun des objectifs stratégiques, l’organisation pourra déterminer l’action à réaliser et les moyens à consacrer </w:t>
            </w:r>
            <w:r w:rsidRPr="00EB548E">
              <w:rPr>
                <w:rFonts w:eastAsia="Times New Roman" w:cs="Arial"/>
                <w:color w:val="000000"/>
                <w:sz w:val="20"/>
                <w:szCs w:val="20"/>
                <w:lang w:eastAsia="fr-CA"/>
              </w:rPr>
              <w:t>pour atteindre</w:t>
            </w:r>
            <w:r w:rsidR="00F851F8" w:rsidRPr="00EB548E">
              <w:rPr>
                <w:rFonts w:eastAsia="Times New Roman" w:cs="Arial"/>
                <w:color w:val="000000"/>
                <w:sz w:val="20"/>
                <w:szCs w:val="20"/>
                <w:lang w:eastAsia="fr-CA"/>
              </w:rPr>
              <w:t xml:space="preserve"> l’objectif</w:t>
            </w:r>
            <w:r w:rsidRPr="00EB548E">
              <w:rPr>
                <w:rFonts w:eastAsia="Times New Roman" w:cs="Arial"/>
                <w:color w:val="000000"/>
                <w:sz w:val="20"/>
                <w:szCs w:val="20"/>
                <w:lang w:eastAsia="fr-CA"/>
              </w:rPr>
              <w:t>.</w:t>
            </w:r>
          </w:p>
          <w:p w:rsidR="00F851F8" w:rsidRPr="00EB548E" w:rsidRDefault="00F673F9" w:rsidP="000461CE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b/>
                <w:color w:val="000000"/>
                <w:sz w:val="20"/>
                <w:szCs w:val="20"/>
              </w:rPr>
              <w:t>OBJECTIFS :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Résultat qu’une organisation se propose d’atteindre au cours d’une période déterminée.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 xml:space="preserve"> L’objectif exprime l’intention et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l’engagement, ce 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qu’on veut réaliser et produire. B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>ref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, il représente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le but poursuivi par les services et les programmes offerts. Habituellement, l’objectif vise un effet, un bénéfice pour la clientèle ou contribue à la concrétisation d’un tel bénéfice. Pour définir des objectifs efficaces, nous vous proposons la méthode SMART :</w:t>
            </w:r>
          </w:p>
          <w:p w:rsidR="00F851F8" w:rsidRPr="00EB548E" w:rsidRDefault="00F673F9" w:rsidP="000461CE">
            <w:pPr>
              <w:shd w:val="clear" w:color="auto" w:fill="FFFFFF"/>
              <w:ind w:left="720"/>
              <w:rPr>
                <w:rFonts w:eastAsia="Times New Roman" w:cs="Arial"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(S) Spécifique (personnalisé</w:t>
            </w:r>
            <w:proofErr w:type="gramStart"/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)</w:t>
            </w:r>
            <w:proofErr w:type="gramEnd"/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br/>
              <w:t>(M) Mesur</w:t>
            </w:r>
            <w:r w:rsidR="00927441" w:rsidRPr="00EB548E">
              <w:rPr>
                <w:rFonts w:eastAsia="Times New Roman" w:cs="Arial"/>
                <w:sz w:val="20"/>
                <w:szCs w:val="20"/>
                <w:lang w:eastAsia="fr-CA"/>
              </w:rPr>
              <w:t>able (référence aux indicateurs)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br/>
              <w:t xml:space="preserve">(A) Atteignable (qui demande </w:t>
            </w:r>
            <w:r w:rsidR="00927441" w:rsidRPr="00EB548E">
              <w:rPr>
                <w:rFonts w:eastAsia="Times New Roman" w:cs="Arial"/>
                <w:sz w:val="20"/>
                <w:szCs w:val="20"/>
                <w:lang w:eastAsia="fr-CA"/>
              </w:rPr>
              <w:t>un effort)</w:t>
            </w:r>
            <w:r w:rsidR="00927441" w:rsidRPr="00EB548E">
              <w:rPr>
                <w:rFonts w:eastAsia="Times New Roman" w:cs="Arial"/>
                <w:sz w:val="20"/>
                <w:szCs w:val="20"/>
                <w:lang w:eastAsia="fr-CA"/>
              </w:rPr>
              <w:br/>
              <w:t>(R) Réaliste (atteignable compte tenu du contexte de l’organisation)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br/>
              <w:t>(T) Échelonné dans le temps</w:t>
            </w:r>
            <w:r w:rsidR="00927441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(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t>combien de temps pour atteindre l’objectif)</w:t>
            </w:r>
          </w:p>
          <w:p w:rsidR="0080515E" w:rsidRPr="00EB548E" w:rsidRDefault="0080515E" w:rsidP="000461CE">
            <w:pPr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F851F8" w:rsidRPr="00EB548E" w:rsidRDefault="00F673F9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b/>
                <w:color w:val="000000"/>
                <w:sz w:val="20"/>
                <w:szCs w:val="20"/>
              </w:rPr>
              <w:t>INDICATEURS :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 xml:space="preserve"> Les indicateurs sont t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>oute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s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 xml:space="preserve">les 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>mesure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s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significative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s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>, relative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s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ou non, utilisée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s</w:t>
            </w:r>
            <w:r w:rsidR="00F851F8" w:rsidRPr="00EB548E">
              <w:rPr>
                <w:rFonts w:cs="Arial"/>
                <w:color w:val="000000"/>
                <w:sz w:val="20"/>
                <w:szCs w:val="20"/>
              </w:rPr>
              <w:t xml:space="preserve"> pour apprécier les résultats obtenus, l’utilisation des ressources, l’état d’avancement des 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travaux ou le contexte externe.</w:t>
            </w:r>
          </w:p>
          <w:p w:rsidR="00F851F8" w:rsidRPr="00EB548E" w:rsidRDefault="00F851F8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F851F8" w:rsidRPr="00EB548E" w:rsidRDefault="00F851F8" w:rsidP="000461CE">
            <w:pPr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color w:val="000000"/>
                <w:sz w:val="20"/>
                <w:szCs w:val="20"/>
              </w:rPr>
              <w:t>L’indicateur est un outil de mes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ure (nombre, ratio, pourcentage et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bien livrable) qui inclut les différents éléments considérés dans le calcul ou 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 xml:space="preserve">dans 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le suivi (par exemple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,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les activités,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 xml:space="preserve"> les groupes de clients, les couts, etc.).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L’indicateur permet de constater la progressi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on vers l’objectif à atteindre.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Comme l’indicateur ne mesure qu’un seul aspect, il peut y avoir plusieurs indicateurs pour mesurer l’atteinte d’un même objectif. L’indicateur doit représenter le meilleur choix possible pour mesurer le résultat attendu ou </w:t>
            </w:r>
            <w:r w:rsidR="00927441" w:rsidRPr="00EB548E">
              <w:rPr>
                <w:rFonts w:cs="Arial"/>
                <w:color w:val="000000"/>
                <w:sz w:val="20"/>
                <w:szCs w:val="20"/>
              </w:rPr>
              <w:t>l’un de ses aspects.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 xml:space="preserve"> À ne pas confondre :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l’indicateur n’est pas la mesure, il est l’outil de mesure qui permet de constater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 xml:space="preserve"> la progression.</w:t>
            </w:r>
          </w:p>
          <w:p w:rsidR="00F851F8" w:rsidRPr="00EB548E" w:rsidRDefault="00F851F8" w:rsidP="000461CE">
            <w:pPr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F851F8" w:rsidRPr="00EB548E" w:rsidRDefault="00F851F8" w:rsidP="000461CE">
            <w:pPr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color w:val="000000"/>
                <w:sz w:val="20"/>
                <w:szCs w:val="20"/>
              </w:rPr>
              <w:t>Voi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r l’outil de référence de la Boite à outils BNQ</w:t>
            </w:r>
            <w:r w:rsidR="007121C3" w:rsidRPr="00EB548E">
              <w:t> 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21000 : 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« 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Indicateurs de référence 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pour chacun des vingt-et-un</w:t>
            </w:r>
            <w:r w:rsidR="007121C3" w:rsidRPr="00EB548E">
              <w:t> 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enjeux de la norme BNQ</w:t>
            </w:r>
            <w:r w:rsidR="007121C3" w:rsidRPr="00EB548E">
              <w:t> 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21000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 ».</w:t>
            </w:r>
          </w:p>
          <w:p w:rsidR="00F851F8" w:rsidRPr="00EB548E" w:rsidRDefault="00F851F8" w:rsidP="000461CE">
            <w:pPr>
              <w:shd w:val="clear" w:color="auto" w:fill="FFFFFF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:rsidR="00F851F8" w:rsidRDefault="00F851F8" w:rsidP="000461CE">
            <w:pPr>
              <w:pageBreakBefore/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b/>
                <w:color w:val="000000"/>
                <w:sz w:val="20"/>
                <w:szCs w:val="20"/>
              </w:rPr>
              <w:t xml:space="preserve">RESPONSABLES : 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Nommer la ou l</w:t>
            </w:r>
            <w:r w:rsidR="007121C3" w:rsidRPr="00EB548E">
              <w:rPr>
                <w:rFonts w:cs="Arial"/>
                <w:color w:val="000000"/>
                <w:sz w:val="20"/>
                <w:szCs w:val="20"/>
              </w:rPr>
              <w:t>es ressources responsables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 xml:space="preserve"> pour réaliser chacune des activités. Il est important de s’assurer que les ressources sélectionnées possèdent les compétences, l’influence ou le niveau hiérarchique adéquat pour mener à bien l’activité.</w:t>
            </w:r>
          </w:p>
          <w:p w:rsidR="00F033EF" w:rsidRPr="00EB548E" w:rsidRDefault="00F033EF" w:rsidP="000461CE">
            <w:pPr>
              <w:shd w:val="clear" w:color="auto" w:fill="FFFFFF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F851F8" w:rsidRDefault="00F851F8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 xml:space="preserve">COLLABORATEURS : </w:t>
            </w:r>
            <w:r w:rsidR="00B63E9A">
              <w:rPr>
                <w:rFonts w:cs="Arial"/>
                <w:sz w:val="20"/>
                <w:szCs w:val="20"/>
              </w:rPr>
              <w:t>On parle ici de l</w:t>
            </w:r>
            <w:r w:rsidRPr="00EB548E">
              <w:rPr>
                <w:rFonts w:cs="Arial"/>
                <w:sz w:val="20"/>
                <w:szCs w:val="20"/>
              </w:rPr>
              <w:t xml:space="preserve">a ou les ressources </w:t>
            </w:r>
            <w:r w:rsidR="007121C3" w:rsidRPr="00EB548E">
              <w:rPr>
                <w:rFonts w:cs="Arial"/>
                <w:sz w:val="20"/>
                <w:szCs w:val="20"/>
              </w:rPr>
              <w:t>nommées</w:t>
            </w:r>
            <w:r w:rsidRPr="00EB548E">
              <w:rPr>
                <w:rFonts w:cs="Arial"/>
                <w:sz w:val="20"/>
                <w:szCs w:val="20"/>
              </w:rPr>
              <w:t xml:space="preserve"> ayant une contribution dans la réalisation de l’action et </w:t>
            </w:r>
            <w:r w:rsidR="007121C3" w:rsidRPr="00EB548E">
              <w:rPr>
                <w:rFonts w:cs="Arial"/>
                <w:sz w:val="20"/>
                <w:szCs w:val="20"/>
              </w:rPr>
              <w:t>coordonnées</w:t>
            </w:r>
            <w:r w:rsidRPr="00EB548E">
              <w:rPr>
                <w:rFonts w:cs="Arial"/>
                <w:sz w:val="20"/>
                <w:szCs w:val="20"/>
              </w:rPr>
              <w:t xml:space="preserve"> par la re</w:t>
            </w:r>
            <w:r w:rsidR="00B63E9A">
              <w:rPr>
                <w:rFonts w:cs="Arial"/>
                <w:sz w:val="20"/>
                <w:szCs w:val="20"/>
              </w:rPr>
              <w:t>ssource responsable de l’action.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0515E" w:rsidRDefault="000461CE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br/>
            </w:r>
            <w:r w:rsidR="0080515E" w:rsidRPr="00EB548E">
              <w:rPr>
                <w:rFonts w:cs="Arial"/>
                <w:b/>
                <w:sz w:val="20"/>
                <w:szCs w:val="20"/>
              </w:rPr>
              <w:lastRenderedPageBreak/>
              <w:t>RESSOURCES MATÉRIELLES</w:t>
            </w:r>
            <w:r w:rsidR="00B63E9A">
              <w:rPr>
                <w:rFonts w:cs="Arial"/>
                <w:sz w:val="20"/>
                <w:szCs w:val="20"/>
              </w:rPr>
              <w:t> : C’est l</w:t>
            </w:r>
            <w:r w:rsidR="0080515E" w:rsidRPr="00EB548E">
              <w:rPr>
                <w:rFonts w:cs="Arial"/>
                <w:sz w:val="20"/>
                <w:szCs w:val="20"/>
              </w:rPr>
              <w:t>e matériel requis à prévoir pour réaliser l’action.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851F8" w:rsidRDefault="0080515E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>RESSOURCES FINANCIÈRES</w:t>
            </w:r>
            <w:r w:rsidR="007121C3" w:rsidRPr="00EB548E">
              <w:rPr>
                <w:rFonts w:cs="Arial"/>
                <w:sz w:val="20"/>
                <w:szCs w:val="20"/>
              </w:rPr>
              <w:t> </w:t>
            </w:r>
            <w:r w:rsidRPr="00EB548E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F851F8" w:rsidRPr="00EB548E">
              <w:rPr>
                <w:rFonts w:cs="Arial"/>
                <w:sz w:val="20"/>
                <w:szCs w:val="20"/>
              </w:rPr>
              <w:t>Transmettr</w:t>
            </w:r>
            <w:r w:rsidR="007121C3" w:rsidRPr="00EB548E">
              <w:rPr>
                <w:rFonts w:cs="Arial"/>
                <w:sz w:val="20"/>
                <w:szCs w:val="20"/>
              </w:rPr>
              <w:t>e l’information sur tous les cou</w:t>
            </w:r>
            <w:r w:rsidR="00F851F8" w:rsidRPr="00EB548E">
              <w:rPr>
                <w:rFonts w:cs="Arial"/>
                <w:sz w:val="20"/>
                <w:szCs w:val="20"/>
              </w:rPr>
              <w:t>ts qui seront inhérents à la mise en œuvre de cette action (ressources humaines, matérielles, etc</w:t>
            </w:r>
            <w:r w:rsidR="007121C3" w:rsidRPr="00EB548E">
              <w:rPr>
                <w:rFonts w:cs="Arial"/>
                <w:sz w:val="20"/>
                <w:szCs w:val="20"/>
              </w:rPr>
              <w:t>.).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Pour savoir si le</w:t>
            </w:r>
            <w:r w:rsidR="007121C3" w:rsidRPr="00EB548E">
              <w:rPr>
                <w:rFonts w:cs="Arial"/>
                <w:sz w:val="20"/>
                <w:szCs w:val="20"/>
              </w:rPr>
              <w:t>s cou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ts ont été respectés, il est proposé de détailler et </w:t>
            </w:r>
            <w:r w:rsidR="007121C3" w:rsidRPr="00EB548E">
              <w:rPr>
                <w:rFonts w:cs="Arial"/>
                <w:sz w:val="20"/>
                <w:szCs w:val="20"/>
              </w:rPr>
              <w:t xml:space="preserve">de </w:t>
            </w:r>
            <w:r w:rsidR="00F851F8" w:rsidRPr="00EB548E">
              <w:rPr>
                <w:rFonts w:cs="Arial"/>
                <w:sz w:val="20"/>
                <w:szCs w:val="20"/>
              </w:rPr>
              <w:t>suivre les dépenses au même titre que l’évolution des résultats.</w:t>
            </w:r>
          </w:p>
          <w:p w:rsidR="00F033EF" w:rsidRPr="00EB548E" w:rsidRDefault="00F033EF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0515E" w:rsidRDefault="0080515E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b/>
                <w:sz w:val="20"/>
                <w:szCs w:val="20"/>
              </w:rPr>
              <w:t>ÉCHÉANCES</w:t>
            </w:r>
            <w:r w:rsidRPr="00EB548E">
              <w:rPr>
                <w:rFonts w:cs="Arial"/>
                <w:sz w:val="20"/>
                <w:szCs w:val="20"/>
              </w:rPr>
              <w:t xml:space="preserve"> : </w:t>
            </w:r>
            <w:r w:rsidR="00B63E9A">
              <w:rPr>
                <w:rFonts w:cs="Arial"/>
                <w:sz w:val="20"/>
                <w:szCs w:val="20"/>
              </w:rPr>
              <w:t>On parle ici du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calendrier et</w:t>
            </w:r>
            <w:r w:rsidR="00B63E9A">
              <w:rPr>
                <w:rFonts w:cs="Arial"/>
                <w:sz w:val="20"/>
                <w:szCs w:val="20"/>
              </w:rPr>
              <w:t xml:space="preserve"> de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l’échéance de </w:t>
            </w:r>
            <w:r w:rsidR="007121C3" w:rsidRPr="00EB548E">
              <w:rPr>
                <w:rFonts w:cs="Arial"/>
                <w:sz w:val="20"/>
                <w:szCs w:val="20"/>
              </w:rPr>
              <w:t xml:space="preserve">la </w:t>
            </w:r>
            <w:r w:rsidR="00011BDB" w:rsidRPr="00EB548E">
              <w:rPr>
                <w:rFonts w:cs="Arial"/>
                <w:sz w:val="20"/>
                <w:szCs w:val="20"/>
              </w:rPr>
              <w:t>réalisation de l’action</w:t>
            </w:r>
          </w:p>
          <w:p w:rsidR="00935E5A" w:rsidRPr="00EB548E" w:rsidRDefault="00935E5A" w:rsidP="000461C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0515E" w:rsidRPr="00EB548E" w:rsidRDefault="00C20908" w:rsidP="000461CE">
            <w:pPr>
              <w:shd w:val="clear" w:color="auto" w:fill="FFFFFF"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LE PROCESSUS D’</w:t>
            </w:r>
            <w:r w:rsidR="00D42D4A"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É</w:t>
            </w:r>
            <w:r w:rsidR="007121C3"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LABORATION DU PLAN D’ACTION BNQ</w:t>
            </w:r>
            <w:r w:rsidR="007121C3" w:rsidRPr="00EB548E">
              <w:t> </w:t>
            </w: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21000</w:t>
            </w:r>
          </w:p>
          <w:p w:rsidR="00C20908" w:rsidRPr="00EB548E" w:rsidRDefault="00C20908" w:rsidP="000461CE">
            <w:pPr>
              <w:shd w:val="clear" w:color="auto" w:fill="FFFFFF"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Planifier une rencontre avec les membres du comité de développement durable ou les ressources qui ont contribué à la sélection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des enjeux;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Assurer la participation des compétences nécessaires pour faire le choix des actions à mettre en œuvre e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t élaborer le plan d’action BNQ</w:t>
            </w:r>
            <w:r w:rsidR="007121C3" w:rsidRPr="00EB548E">
              <w:t> 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21000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552731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Commencer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par une mise en contexte des enjeux prioritaires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Assurer la compréhensio</w:t>
            </w:r>
            <w:r w:rsidR="00011BDB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n de tous les participants et faire 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un consensus concernant les enjeux prioritaires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Définir la durée du plan d’action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Pour chacun des enjeux prioritaires, sélectionner les actions à mettre en œuvre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7121C3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Remplir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le tableau pour chacun des enjeux prioritaires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À la fin de l’exercice, réviser le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plan d’action termin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é pour s’assurer que 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l’organisation a les capacités 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financières, humaines et matérielles pour réaliser le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plan d’action;</w:t>
            </w:r>
          </w:p>
          <w:p w:rsidR="00F851F8" w:rsidRPr="00EB548E" w:rsidRDefault="007121C3" w:rsidP="000461CE">
            <w:pPr>
              <w:numPr>
                <w:ilvl w:val="0"/>
                <w:numId w:val="9"/>
              </w:numPr>
              <w:shd w:val="clear" w:color="auto" w:fill="FFFFFF"/>
              <w:spacing w:before="60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Faire</w:t>
            </w:r>
            <w:r w:rsidR="00F851F8" w:rsidRPr="00EB548E">
              <w:rPr>
                <w:rFonts w:eastAsia="Times New Roman" w:cs="Arial"/>
                <w:sz w:val="20"/>
                <w:szCs w:val="20"/>
                <w:lang w:eastAsia="fr-CA"/>
              </w:rPr>
              <w:t xml:space="preserve"> approuver le plan d’action par la haute direction</w:t>
            </w: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;</w:t>
            </w:r>
          </w:p>
          <w:p w:rsidR="00F851F8" w:rsidRPr="00EB548E" w:rsidRDefault="00F851F8" w:rsidP="000461CE">
            <w:pPr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sz w:val="20"/>
                <w:szCs w:val="20"/>
                <w:lang w:eastAsia="fr-CA"/>
              </w:rPr>
              <w:t>Communiquer le plan d’action à l’ensemble des employés</w:t>
            </w:r>
            <w:r w:rsidR="007121C3" w:rsidRPr="00EB548E">
              <w:rPr>
                <w:rFonts w:eastAsia="Times New Roman" w:cs="Arial"/>
                <w:sz w:val="20"/>
                <w:szCs w:val="20"/>
                <w:lang w:eastAsia="fr-CA"/>
              </w:rPr>
              <w:t>.</w:t>
            </w:r>
          </w:p>
          <w:p w:rsidR="00DD5EC1" w:rsidRPr="00EB548E" w:rsidRDefault="00DD5EC1" w:rsidP="000461CE">
            <w:pPr>
              <w:shd w:val="clear" w:color="auto" w:fill="FFFFFF"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</w:p>
          <w:p w:rsidR="0080515E" w:rsidRPr="00EB548E" w:rsidRDefault="00F851F8" w:rsidP="000461CE">
            <w:pPr>
              <w:shd w:val="clear" w:color="auto" w:fill="FFFFFF"/>
              <w:jc w:val="both"/>
              <w:rPr>
                <w:rFonts w:eastAsia="Times New Roman" w:cs="Arial"/>
                <w:b/>
                <w:sz w:val="20"/>
                <w:szCs w:val="20"/>
                <w:lang w:eastAsia="fr-CA"/>
              </w:rPr>
            </w:pP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 xml:space="preserve">Il est possible que des informations doivent être validées avant de finaliser le plan d’action et </w:t>
            </w:r>
            <w:r w:rsidR="007121C3"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de confirmer</w:t>
            </w: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 xml:space="preserve"> les ressources humaines qui participeront à </w:t>
            </w:r>
            <w:r w:rsidR="00C14DA1"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 xml:space="preserve">la mise en œuvre. </w:t>
            </w: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L’exercice pourrait ainsi se terminer à la suite de quelques rencontres du comité d’é</w:t>
            </w:r>
            <w:r w:rsidR="007121C3"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>laboration du plan d’action BNQ</w:t>
            </w:r>
            <w:r w:rsidR="007121C3" w:rsidRPr="00EB548E">
              <w:t> </w:t>
            </w:r>
            <w:r w:rsidRPr="00EB548E">
              <w:rPr>
                <w:rFonts w:eastAsia="Times New Roman" w:cs="Arial"/>
                <w:b/>
                <w:sz w:val="20"/>
                <w:szCs w:val="20"/>
                <w:lang w:eastAsia="fr-CA"/>
              </w:rPr>
              <w:t xml:space="preserve">21000. </w:t>
            </w:r>
          </w:p>
        </w:tc>
      </w:tr>
    </w:tbl>
    <w:p w:rsidR="00F033EF" w:rsidRDefault="00F033EF" w:rsidP="000461CE">
      <w:pPr>
        <w:spacing w:after="0" w:line="240" w:lineRule="auto"/>
        <w:rPr>
          <w:b/>
        </w:rPr>
      </w:pPr>
    </w:p>
    <w:p w:rsidR="001464F4" w:rsidRPr="00EB548E" w:rsidRDefault="007121C3" w:rsidP="000461CE">
      <w:pPr>
        <w:spacing w:after="0" w:line="240" w:lineRule="auto"/>
        <w:rPr>
          <w:b/>
        </w:rPr>
      </w:pPr>
      <w:r w:rsidRPr="00EB548E">
        <w:rPr>
          <w:b/>
        </w:rPr>
        <w:t>Conditions de succès</w:t>
      </w:r>
      <w:r w:rsidR="001464F4" w:rsidRPr="00EB548E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7121C3" w:rsidRPr="00EB548E" w:rsidTr="001464F4">
        <w:tc>
          <w:tcPr>
            <w:tcW w:w="10940" w:type="dxa"/>
          </w:tcPr>
          <w:p w:rsidR="00F851F8" w:rsidRPr="00EB548E" w:rsidRDefault="007121C3" w:rsidP="000461C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Faire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 participer les ressources humaines compétentes pour assurer la réussite de la démarche de développement durable</w:t>
            </w:r>
            <w:r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F851F8" w:rsidP="000461C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Avoir un mandat clair et porté par la haute direction</w:t>
            </w:r>
            <w:r w:rsidR="007121C3"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F851F8" w:rsidP="000461C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Assurer le consensus concernant les stratégies, les actions et les moyens à déployer</w:t>
            </w:r>
            <w:r w:rsidR="007121C3"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F851F8" w:rsidP="000461C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Réunir les ressources compétentes pour élaborer le plan d’action selon les champs de compétences requis pour chacune des actions à mettre en œuvre</w:t>
            </w:r>
            <w:r w:rsidR="007121C3"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F851F8" w:rsidP="000461CE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EB548E">
              <w:rPr>
                <w:rFonts w:cs="Arial"/>
                <w:sz w:val="20"/>
                <w:szCs w:val="20"/>
              </w:rPr>
              <w:t>Miser sur des action</w:t>
            </w:r>
            <w:r w:rsidR="007121C3" w:rsidRPr="00EB548E">
              <w:rPr>
                <w:rFonts w:cs="Arial"/>
                <w:sz w:val="20"/>
                <w:szCs w:val="20"/>
              </w:rPr>
              <w:t>s qui créeront un effet d’entrai</w:t>
            </w:r>
            <w:r w:rsidRPr="00EB548E">
              <w:rPr>
                <w:rFonts w:cs="Arial"/>
                <w:sz w:val="20"/>
                <w:szCs w:val="20"/>
              </w:rPr>
              <w:t>nement</w:t>
            </w:r>
            <w:r w:rsidR="007121C3" w:rsidRPr="00EB548E">
              <w:rPr>
                <w:rFonts w:cs="Arial"/>
                <w:sz w:val="20"/>
                <w:szCs w:val="20"/>
              </w:rPr>
              <w:t>.</w:t>
            </w:r>
          </w:p>
          <w:p w:rsidR="00F851F8" w:rsidRPr="00EB548E" w:rsidRDefault="007121C3" w:rsidP="000461CE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jc w:val="both"/>
            </w:pPr>
            <w:r w:rsidRPr="00EB548E">
              <w:rPr>
                <w:rFonts w:cs="Arial"/>
                <w:sz w:val="20"/>
                <w:szCs w:val="20"/>
              </w:rPr>
              <w:t>Commencer par les actions qui auront un effe</w:t>
            </w:r>
            <w:r w:rsidR="00F851F8" w:rsidRPr="00EB548E">
              <w:rPr>
                <w:rFonts w:cs="Arial"/>
                <w:sz w:val="20"/>
                <w:szCs w:val="20"/>
              </w:rPr>
              <w:t xml:space="preserve">t significatif au sein de l’organisation (effet </w:t>
            </w:r>
            <w:r w:rsidRPr="00EB548E">
              <w:rPr>
                <w:rFonts w:cs="Arial"/>
                <w:sz w:val="20"/>
                <w:szCs w:val="20"/>
              </w:rPr>
              <w:t xml:space="preserve">de </w:t>
            </w:r>
            <w:r w:rsidR="00F851F8" w:rsidRPr="00EB548E">
              <w:rPr>
                <w:rFonts w:cs="Arial"/>
                <w:sz w:val="20"/>
                <w:szCs w:val="20"/>
              </w:rPr>
              <w:t>levier pour la mobilisation)</w:t>
            </w:r>
            <w:r w:rsidRPr="00EB548E">
              <w:rPr>
                <w:rFonts w:cs="Arial"/>
                <w:sz w:val="20"/>
                <w:szCs w:val="20"/>
              </w:rPr>
              <w:t>.</w:t>
            </w:r>
          </w:p>
          <w:p w:rsidR="001464F4" w:rsidRPr="00EB548E" w:rsidRDefault="00F851F8" w:rsidP="000461CE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jc w:val="both"/>
            </w:pPr>
            <w:r w:rsidRPr="00EB548E">
              <w:rPr>
                <w:rFonts w:cs="Arial"/>
                <w:sz w:val="20"/>
                <w:szCs w:val="20"/>
              </w:rPr>
              <w:t>Penser à la communication tout au long de l’exercice</w:t>
            </w:r>
            <w:r w:rsidR="007121C3" w:rsidRPr="00EB548E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F033EF" w:rsidRDefault="00F033EF" w:rsidP="000461CE">
      <w:pPr>
        <w:spacing w:after="0" w:line="240" w:lineRule="auto"/>
        <w:rPr>
          <w:b/>
        </w:rPr>
      </w:pPr>
    </w:p>
    <w:p w:rsidR="00EB548E" w:rsidRPr="00EB548E" w:rsidRDefault="00EB548E" w:rsidP="000461CE">
      <w:pPr>
        <w:spacing w:after="0" w:line="240" w:lineRule="auto"/>
        <w:rPr>
          <w:b/>
        </w:rPr>
      </w:pPr>
      <w:r w:rsidRPr="00EB548E">
        <w:rPr>
          <w:b/>
        </w:rPr>
        <w:t xml:space="preserve">Voir les documents en appui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EB548E" w:rsidRPr="00EB548E" w:rsidTr="00946140">
        <w:trPr>
          <w:trHeight w:val="341"/>
        </w:trPr>
        <w:tc>
          <w:tcPr>
            <w:tcW w:w="10296" w:type="dxa"/>
          </w:tcPr>
          <w:p w:rsidR="00EB548E" w:rsidRPr="00EB548E" w:rsidRDefault="00EB548E" w:rsidP="000461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EB548E">
              <w:rPr>
                <w:rFonts w:cs="Arial"/>
                <w:color w:val="000000"/>
                <w:sz w:val="20"/>
                <w:szCs w:val="20"/>
              </w:rPr>
              <w:t>Ministère du Développement durable, de l’Environnement et des Parcs</w:t>
            </w:r>
            <w:r w:rsidRPr="00EB548E">
              <w:rPr>
                <w:rFonts w:cs="Arial"/>
                <w:i/>
                <w:color w:val="000000"/>
                <w:sz w:val="20"/>
                <w:szCs w:val="20"/>
              </w:rPr>
              <w:t>. Guide d’élaboration d’un plan d’action de développement durable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, décembre</w:t>
            </w:r>
            <w:r w:rsidRPr="00EB548E">
              <w:rPr>
                <w:i/>
              </w:rPr>
              <w:t> 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2007</w:t>
            </w:r>
          </w:p>
          <w:p w:rsidR="00EB548E" w:rsidRPr="00EB548E" w:rsidRDefault="00EB548E" w:rsidP="000461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/>
              </w:rPr>
            </w:pPr>
            <w:r w:rsidRPr="00EB548E">
              <w:rPr>
                <w:rFonts w:cs="Arial"/>
                <w:i/>
                <w:color w:val="000000"/>
                <w:sz w:val="20"/>
                <w:szCs w:val="20"/>
              </w:rPr>
              <w:t>Guide BNQ</w:t>
            </w:r>
            <w:r w:rsidRPr="00EB548E">
              <w:rPr>
                <w:i/>
              </w:rPr>
              <w:t> </w:t>
            </w:r>
            <w:r w:rsidRPr="00EB548E">
              <w:rPr>
                <w:rFonts w:cs="Arial"/>
                <w:i/>
                <w:color w:val="000000"/>
                <w:sz w:val="20"/>
                <w:szCs w:val="20"/>
              </w:rPr>
              <w:t>21000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, avril</w:t>
            </w:r>
            <w:r w:rsidRPr="00EB548E">
              <w:rPr>
                <w:i/>
              </w:rPr>
              <w:t> </w:t>
            </w:r>
            <w:r w:rsidRPr="00EB548E">
              <w:rPr>
                <w:rFonts w:cs="Arial"/>
                <w:color w:val="000000"/>
                <w:sz w:val="20"/>
                <w:szCs w:val="20"/>
              </w:rPr>
              <w:t>2011</w:t>
            </w:r>
          </w:p>
        </w:tc>
      </w:tr>
    </w:tbl>
    <w:p w:rsidR="00C7674E" w:rsidRPr="00EB548E" w:rsidRDefault="00C7674E" w:rsidP="000461CE">
      <w:pPr>
        <w:spacing w:line="240" w:lineRule="auto"/>
        <w:jc w:val="both"/>
      </w:pPr>
    </w:p>
    <w:sectPr w:rsidR="00C7674E" w:rsidRPr="00EB548E" w:rsidSect="00EB548E">
      <w:headerReference w:type="default" r:id="rId9"/>
      <w:footerReference w:type="default" r:id="rId10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0A" w:rsidRDefault="0043130A" w:rsidP="00AB0854">
      <w:pPr>
        <w:spacing w:after="0" w:line="240" w:lineRule="auto"/>
      </w:pPr>
      <w:r>
        <w:separator/>
      </w:r>
    </w:p>
  </w:endnote>
  <w:endnote w:type="continuationSeparator" w:id="0">
    <w:p w:rsidR="0043130A" w:rsidRDefault="0043130A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0"/>
      <w:gridCol w:w="3045"/>
      <w:gridCol w:w="3731"/>
    </w:tblGrid>
    <w:tr w:rsidR="00EB548E" w:rsidRPr="009B6968" w:rsidTr="007C7D89">
      <w:trPr>
        <w:trHeight w:val="426"/>
      </w:trPr>
      <w:tc>
        <w:tcPr>
          <w:tcW w:w="3798" w:type="dxa"/>
          <w:vAlign w:val="bottom"/>
        </w:tcPr>
        <w:p w:rsidR="00EB548E" w:rsidRPr="009B6968" w:rsidRDefault="007C7D89" w:rsidP="008B7E99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13/03/19</w:t>
          </w:r>
        </w:p>
      </w:tc>
      <w:tc>
        <w:tcPr>
          <w:tcW w:w="3015" w:type="dxa"/>
          <w:vAlign w:val="bottom"/>
        </w:tcPr>
        <w:p w:rsidR="00EB548E" w:rsidRPr="009B6968" w:rsidRDefault="00EB548E" w:rsidP="008B7E99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7C7D89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72B38949" wp14:editId="6CA698DF">
                <wp:extent cx="1796903" cy="618933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6734" cy="618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EB548E" w:rsidRPr="009B6968" w:rsidRDefault="0043130A" w:rsidP="008B7E99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B548E" w:rsidRPr="009B6968">
                <w:rPr>
                  <w:sz w:val="18"/>
                  <w:szCs w:val="18"/>
                </w:rPr>
                <w:br/>
              </w:r>
              <w:r w:rsidR="00EB548E" w:rsidRPr="009B6968">
                <w:rPr>
                  <w:sz w:val="18"/>
                  <w:szCs w:val="18"/>
                </w:rPr>
                <w:br/>
              </w:r>
              <w:r w:rsidR="00EB548E" w:rsidRPr="009B6968">
                <w:rPr>
                  <w:sz w:val="18"/>
                  <w:szCs w:val="18"/>
                </w:rPr>
                <w:fldChar w:fldCharType="begin"/>
              </w:r>
              <w:r w:rsidR="00EB548E" w:rsidRPr="009B6968">
                <w:rPr>
                  <w:sz w:val="18"/>
                  <w:szCs w:val="18"/>
                </w:rPr>
                <w:instrText>PAGE   \* MERGEFORMAT</w:instrText>
              </w:r>
              <w:r w:rsidR="00EB548E" w:rsidRPr="009B6968">
                <w:rPr>
                  <w:sz w:val="18"/>
                  <w:szCs w:val="18"/>
                </w:rPr>
                <w:fldChar w:fldCharType="separate"/>
              </w:r>
              <w:r w:rsidR="007C7D89" w:rsidRPr="007C7D89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EB548E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EB548E" w:rsidRDefault="00C4275A" w:rsidP="00EB548E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0A" w:rsidRDefault="0043130A" w:rsidP="00AB0854">
      <w:pPr>
        <w:spacing w:after="0" w:line="240" w:lineRule="auto"/>
      </w:pPr>
      <w:r>
        <w:separator/>
      </w:r>
    </w:p>
  </w:footnote>
  <w:footnote w:type="continuationSeparator" w:id="0">
    <w:p w:rsidR="0043130A" w:rsidRDefault="0043130A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EB548E" w:rsidTr="008B7E99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EB548E" w:rsidRPr="00682610" w:rsidRDefault="00EB548E" w:rsidP="00B1006F">
          <w:pPr>
            <w:pStyle w:val="En-tte"/>
            <w:tabs>
              <w:tab w:val="clear" w:pos="4320"/>
              <w:tab w:val="clear" w:pos="8640"/>
              <w:tab w:val="left" w:pos="3039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Choisir vos priorités</w:t>
          </w:r>
          <w:r w:rsidR="00B1006F">
            <w:rPr>
              <w:rFonts w:cs="Calibri"/>
              <w:color w:val="FFFFFF"/>
              <w:sz w:val="28"/>
              <w:szCs w:val="28"/>
            </w:rPr>
            <w:tab/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EB548E" w:rsidRPr="00081789" w:rsidRDefault="007C7D89" w:rsidP="00EB548E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EB548E">
            <w:rPr>
              <w:rFonts w:cs="Calibri"/>
              <w:b/>
              <w:sz w:val="28"/>
              <w:szCs w:val="28"/>
            </w:rPr>
            <w:t>5-1</w:t>
          </w:r>
          <w:r>
            <w:rPr>
              <w:rFonts w:cs="Calibri"/>
              <w:b/>
              <w:sz w:val="28"/>
              <w:szCs w:val="28"/>
            </w:rPr>
            <w:t>-3-2-1_</w:t>
          </w:r>
          <w:r w:rsidR="00EB548E">
            <w:rPr>
              <w:rFonts w:cs="Calibri"/>
              <w:b/>
              <w:sz w:val="28"/>
              <w:szCs w:val="28"/>
            </w:rPr>
            <w:t xml:space="preserve"> Cibler et planifier vos actions à mettre en œuvre</w:t>
          </w:r>
        </w:p>
      </w:tc>
    </w:tr>
  </w:tbl>
  <w:p w:rsidR="00EB548E" w:rsidRDefault="00EB548E" w:rsidP="00EB548E">
    <w:pPr>
      <w:pStyle w:val="En-tte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7B5D"/>
    <w:multiLevelType w:val="hybridMultilevel"/>
    <w:tmpl w:val="C3FAE9E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BCA"/>
    <w:multiLevelType w:val="hybridMultilevel"/>
    <w:tmpl w:val="14AA1D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37184"/>
    <w:multiLevelType w:val="hybridMultilevel"/>
    <w:tmpl w:val="446C5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6F56BF"/>
    <w:multiLevelType w:val="hybridMultilevel"/>
    <w:tmpl w:val="697C21E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B331A"/>
    <w:multiLevelType w:val="hybridMultilevel"/>
    <w:tmpl w:val="42F65D4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165C84"/>
    <w:multiLevelType w:val="hybridMultilevel"/>
    <w:tmpl w:val="973EC44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1BDB"/>
    <w:rsid w:val="00011FEE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2E15"/>
    <w:rsid w:val="00033B33"/>
    <w:rsid w:val="000345DF"/>
    <w:rsid w:val="000405AD"/>
    <w:rsid w:val="00041248"/>
    <w:rsid w:val="000461CE"/>
    <w:rsid w:val="000575BA"/>
    <w:rsid w:val="00057A99"/>
    <w:rsid w:val="00060AE1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51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46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3B64"/>
    <w:rsid w:val="002E406D"/>
    <w:rsid w:val="002E719B"/>
    <w:rsid w:val="002F4E61"/>
    <w:rsid w:val="002F5E3D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18AC"/>
    <w:rsid w:val="003D25AB"/>
    <w:rsid w:val="003E22C0"/>
    <w:rsid w:val="003E5F9F"/>
    <w:rsid w:val="003E6950"/>
    <w:rsid w:val="003E6974"/>
    <w:rsid w:val="003F10EF"/>
    <w:rsid w:val="003F28E3"/>
    <w:rsid w:val="003F4723"/>
    <w:rsid w:val="003F5702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130A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2731"/>
    <w:rsid w:val="005530FE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5BC1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5FD7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75C0F"/>
    <w:rsid w:val="00680D32"/>
    <w:rsid w:val="006811FE"/>
    <w:rsid w:val="00682350"/>
    <w:rsid w:val="00683D2E"/>
    <w:rsid w:val="006918CE"/>
    <w:rsid w:val="0069244E"/>
    <w:rsid w:val="00693739"/>
    <w:rsid w:val="00696739"/>
    <w:rsid w:val="006A1951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D7685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38ED"/>
    <w:rsid w:val="00706EE6"/>
    <w:rsid w:val="00710580"/>
    <w:rsid w:val="007121C3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BD0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57EEA"/>
    <w:rsid w:val="00762A2A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245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C7D89"/>
    <w:rsid w:val="007D482E"/>
    <w:rsid w:val="007D6D17"/>
    <w:rsid w:val="007E05AE"/>
    <w:rsid w:val="007E1E7C"/>
    <w:rsid w:val="007E5CEC"/>
    <w:rsid w:val="007F6943"/>
    <w:rsid w:val="008007DF"/>
    <w:rsid w:val="0080515E"/>
    <w:rsid w:val="00805ECE"/>
    <w:rsid w:val="00810EC6"/>
    <w:rsid w:val="008126E2"/>
    <w:rsid w:val="00816911"/>
    <w:rsid w:val="00830F9A"/>
    <w:rsid w:val="00832E5C"/>
    <w:rsid w:val="00835F67"/>
    <w:rsid w:val="00837AD9"/>
    <w:rsid w:val="00840B48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765AF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2E6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441"/>
    <w:rsid w:val="00927F77"/>
    <w:rsid w:val="00935E5A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59C6"/>
    <w:rsid w:val="00976AF5"/>
    <w:rsid w:val="00984B06"/>
    <w:rsid w:val="0098713F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423E7"/>
    <w:rsid w:val="00A50CA3"/>
    <w:rsid w:val="00A51329"/>
    <w:rsid w:val="00A70D51"/>
    <w:rsid w:val="00A74BF3"/>
    <w:rsid w:val="00A75CEC"/>
    <w:rsid w:val="00A75FB6"/>
    <w:rsid w:val="00A80557"/>
    <w:rsid w:val="00A84189"/>
    <w:rsid w:val="00A9087A"/>
    <w:rsid w:val="00A91E7F"/>
    <w:rsid w:val="00A92CEB"/>
    <w:rsid w:val="00A92E0B"/>
    <w:rsid w:val="00AA14E3"/>
    <w:rsid w:val="00AA2C2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1006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63E9A"/>
    <w:rsid w:val="00B74B84"/>
    <w:rsid w:val="00B76FA5"/>
    <w:rsid w:val="00B81FB4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D7E62"/>
    <w:rsid w:val="00BF0A7A"/>
    <w:rsid w:val="00BF3A87"/>
    <w:rsid w:val="00BF4381"/>
    <w:rsid w:val="00BF45F9"/>
    <w:rsid w:val="00BF55DE"/>
    <w:rsid w:val="00C0403E"/>
    <w:rsid w:val="00C04B1B"/>
    <w:rsid w:val="00C07FBF"/>
    <w:rsid w:val="00C11894"/>
    <w:rsid w:val="00C1205B"/>
    <w:rsid w:val="00C13529"/>
    <w:rsid w:val="00C13966"/>
    <w:rsid w:val="00C14DA1"/>
    <w:rsid w:val="00C1521C"/>
    <w:rsid w:val="00C20908"/>
    <w:rsid w:val="00C215D3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7674E"/>
    <w:rsid w:val="00C83495"/>
    <w:rsid w:val="00C83B3C"/>
    <w:rsid w:val="00C85FCB"/>
    <w:rsid w:val="00C86F9E"/>
    <w:rsid w:val="00C902C1"/>
    <w:rsid w:val="00C93F93"/>
    <w:rsid w:val="00C96D2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0C8A"/>
    <w:rsid w:val="00CD65A3"/>
    <w:rsid w:val="00CE0466"/>
    <w:rsid w:val="00CE0747"/>
    <w:rsid w:val="00CE3F0F"/>
    <w:rsid w:val="00CE3F77"/>
    <w:rsid w:val="00CE46BB"/>
    <w:rsid w:val="00CE6691"/>
    <w:rsid w:val="00CF1326"/>
    <w:rsid w:val="00CF2DE2"/>
    <w:rsid w:val="00CF33E7"/>
    <w:rsid w:val="00CF5B85"/>
    <w:rsid w:val="00CF5EED"/>
    <w:rsid w:val="00CF6289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0936"/>
    <w:rsid w:val="00D3227F"/>
    <w:rsid w:val="00D36748"/>
    <w:rsid w:val="00D37CA7"/>
    <w:rsid w:val="00D37CCB"/>
    <w:rsid w:val="00D41115"/>
    <w:rsid w:val="00D412D4"/>
    <w:rsid w:val="00D42D4A"/>
    <w:rsid w:val="00D43B9B"/>
    <w:rsid w:val="00D43CB2"/>
    <w:rsid w:val="00D46154"/>
    <w:rsid w:val="00D475EB"/>
    <w:rsid w:val="00D54F13"/>
    <w:rsid w:val="00D571C1"/>
    <w:rsid w:val="00D64254"/>
    <w:rsid w:val="00D66126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5EC1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0FF6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016"/>
    <w:rsid w:val="00EB0281"/>
    <w:rsid w:val="00EB1324"/>
    <w:rsid w:val="00EB1460"/>
    <w:rsid w:val="00EB548E"/>
    <w:rsid w:val="00EC00C4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D6C6D"/>
    <w:rsid w:val="00EF0EFF"/>
    <w:rsid w:val="00EF2278"/>
    <w:rsid w:val="00EF3E8B"/>
    <w:rsid w:val="00F004B6"/>
    <w:rsid w:val="00F033EF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029F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56B26"/>
    <w:rsid w:val="00F629ED"/>
    <w:rsid w:val="00F673F9"/>
    <w:rsid w:val="00F678DA"/>
    <w:rsid w:val="00F71D64"/>
    <w:rsid w:val="00F76224"/>
    <w:rsid w:val="00F777E4"/>
    <w:rsid w:val="00F82487"/>
    <w:rsid w:val="00F851F8"/>
    <w:rsid w:val="00F868FD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65AF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65AF"/>
    <w:rPr>
      <w:rFonts w:eastAsiaTheme="minorEastAsia"/>
      <w:sz w:val="20"/>
      <w:szCs w:val="20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65AF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65AF"/>
    <w:rPr>
      <w:rFonts w:eastAsiaTheme="minorEastAsia"/>
      <w:sz w:val="20"/>
      <w:szCs w:val="20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6F1A-53A5-4F76-AE16-FF013904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1414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44</cp:revision>
  <dcterms:created xsi:type="dcterms:W3CDTF">2012-10-26T12:22:00Z</dcterms:created>
  <dcterms:modified xsi:type="dcterms:W3CDTF">2013-03-19T14:32:00Z</dcterms:modified>
</cp:coreProperties>
</file>