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A74" w:rsidRPr="006B05AC" w:rsidRDefault="00606A74" w:rsidP="003F156F">
      <w:pPr>
        <w:spacing w:after="24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6B05AC">
        <w:rPr>
          <w:rFonts w:ascii="Calibri" w:eastAsia="Calibri" w:hAnsi="Calibri" w:cs="Times New Roman"/>
          <w:b/>
          <w:color w:val="00B050"/>
          <w:sz w:val="28"/>
          <w:szCs w:val="28"/>
        </w:rPr>
        <w:t xml:space="preserve">Principes de divulgation GRI (Global </w:t>
      </w:r>
      <w:proofErr w:type="spellStart"/>
      <w:r w:rsidRPr="006B05AC">
        <w:rPr>
          <w:rFonts w:ascii="Calibri" w:eastAsia="Calibri" w:hAnsi="Calibri" w:cs="Times New Roman"/>
          <w:b/>
          <w:color w:val="00B050"/>
          <w:sz w:val="28"/>
          <w:szCs w:val="28"/>
        </w:rPr>
        <w:t>Reporting</w:t>
      </w:r>
      <w:proofErr w:type="spellEnd"/>
      <w:r w:rsidRPr="006B05AC">
        <w:rPr>
          <w:rFonts w:ascii="Calibri" w:eastAsia="Calibri" w:hAnsi="Calibri" w:cs="Times New Roman"/>
          <w:b/>
          <w:color w:val="00B050"/>
          <w:sz w:val="28"/>
          <w:szCs w:val="28"/>
        </w:rPr>
        <w:t xml:space="preserve"> Initiative)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1E0EA0" w:rsidRPr="00D8352F" w:rsidTr="00D8352F">
        <w:tc>
          <w:tcPr>
            <w:tcW w:w="10188" w:type="dxa"/>
          </w:tcPr>
          <w:p w:rsidR="001E0EA0" w:rsidRPr="00D8352F" w:rsidRDefault="001E0EA0" w:rsidP="003F156F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D8352F">
              <w:rPr>
                <w:rFonts w:cs="Arial"/>
              </w:rPr>
              <w:t>Lors de l’exercice de communication auprès de</w:t>
            </w:r>
            <w:r w:rsidR="00C64012" w:rsidRPr="00D8352F">
              <w:rPr>
                <w:rFonts w:cs="Arial"/>
              </w:rPr>
              <w:t>s</w:t>
            </w:r>
            <w:r w:rsidRPr="00D8352F">
              <w:rPr>
                <w:rFonts w:cs="Arial"/>
              </w:rPr>
              <w:t xml:space="preserve"> parties prenantes sur les engagements que l’organisation souhaite mettre </w:t>
            </w:r>
            <w:r w:rsidR="00C64012" w:rsidRPr="00D8352F">
              <w:rPr>
                <w:rFonts w:cs="Arial"/>
              </w:rPr>
              <w:t xml:space="preserve">en </w:t>
            </w:r>
            <w:r w:rsidR="008B15FC" w:rsidRPr="00D8352F">
              <w:rPr>
                <w:rFonts w:cs="Arial"/>
              </w:rPr>
              <w:t>œuvre</w:t>
            </w:r>
            <w:r w:rsidRPr="00D8352F">
              <w:rPr>
                <w:rFonts w:cs="Arial"/>
              </w:rPr>
              <w:t xml:space="preserve">, </w:t>
            </w:r>
            <w:r w:rsidR="00C64012" w:rsidRPr="00D8352F">
              <w:rPr>
                <w:rFonts w:cs="Arial"/>
              </w:rPr>
              <w:t>l’organisation</w:t>
            </w:r>
            <w:r w:rsidRPr="00D8352F">
              <w:rPr>
                <w:rFonts w:cs="Arial"/>
              </w:rPr>
              <w:t xml:space="preserve"> peut s’inspirer des grands principes de la </w:t>
            </w:r>
            <w:r w:rsidR="00C64012" w:rsidRPr="00D8352F">
              <w:rPr>
                <w:rFonts w:cs="Arial"/>
              </w:rPr>
              <w:t xml:space="preserve">Global </w:t>
            </w:r>
            <w:proofErr w:type="spellStart"/>
            <w:r w:rsidR="00C64012" w:rsidRPr="00D8352F">
              <w:rPr>
                <w:rFonts w:cs="Arial"/>
              </w:rPr>
              <w:t>Reporting</w:t>
            </w:r>
            <w:proofErr w:type="spellEnd"/>
            <w:r w:rsidR="00C64012" w:rsidRPr="00D8352F">
              <w:rPr>
                <w:rFonts w:cs="Arial"/>
              </w:rPr>
              <w:t xml:space="preserve"> Initiative </w:t>
            </w:r>
            <w:r w:rsidRPr="00D8352F">
              <w:rPr>
                <w:rFonts w:cs="Arial"/>
              </w:rPr>
              <w:t>(</w:t>
            </w:r>
            <w:r w:rsidR="00C64012" w:rsidRPr="00D8352F">
              <w:rPr>
                <w:rFonts w:cs="Arial"/>
              </w:rPr>
              <w:t>GRI</w:t>
            </w:r>
            <w:r w:rsidR="008B15FC" w:rsidRPr="00D8352F">
              <w:rPr>
                <w:rFonts w:cs="Arial"/>
              </w:rPr>
              <w:t>).</w:t>
            </w:r>
            <w:r w:rsidRPr="00D8352F">
              <w:rPr>
                <w:rFonts w:cs="Arial"/>
              </w:rPr>
              <w:t xml:space="preserve"> Ces principes </w:t>
            </w:r>
            <w:r w:rsidR="00C64012" w:rsidRPr="00D8352F">
              <w:rPr>
                <w:rFonts w:cs="Arial"/>
              </w:rPr>
              <w:t>proviennent</w:t>
            </w:r>
            <w:r w:rsidRPr="00D8352F">
              <w:rPr>
                <w:rFonts w:cs="Arial"/>
              </w:rPr>
              <w:t xml:space="preserve"> des lignes directrices proposées par la GRI pour réaliser un ra</w:t>
            </w:r>
            <w:r w:rsidR="008B15FC" w:rsidRPr="00D8352F">
              <w:rPr>
                <w:rFonts w:cs="Arial"/>
              </w:rPr>
              <w:t>pport de développement durable.</w:t>
            </w:r>
            <w:r w:rsidRPr="00D8352F">
              <w:rPr>
                <w:rFonts w:cs="Arial"/>
              </w:rPr>
              <w:t xml:space="preserve"> La GRI est aujourd’hui </w:t>
            </w:r>
            <w:proofErr w:type="gramStart"/>
            <w:r w:rsidRPr="00D8352F">
              <w:rPr>
                <w:rFonts w:cs="Arial"/>
              </w:rPr>
              <w:t>reconnue</w:t>
            </w:r>
            <w:proofErr w:type="gramEnd"/>
            <w:r w:rsidRPr="00D8352F">
              <w:rPr>
                <w:rFonts w:cs="Arial"/>
              </w:rPr>
              <w:t xml:space="preserve"> comme </w:t>
            </w:r>
            <w:r w:rsidR="00C64012" w:rsidRPr="00D8352F">
              <w:rPr>
                <w:rFonts w:cs="Arial"/>
              </w:rPr>
              <w:t>le référentiel</w:t>
            </w:r>
            <w:r w:rsidRPr="00D8352F">
              <w:rPr>
                <w:rFonts w:cs="Arial"/>
              </w:rPr>
              <w:t xml:space="preserve"> de divulgation de la performance économique, environnementale </w:t>
            </w:r>
            <w:r w:rsidR="002B40DD" w:rsidRPr="00D8352F">
              <w:rPr>
                <w:rFonts w:cs="Arial"/>
              </w:rPr>
              <w:t>e</w:t>
            </w:r>
            <w:r w:rsidR="008B15FC" w:rsidRPr="00D8352F">
              <w:rPr>
                <w:rFonts w:cs="Arial"/>
              </w:rPr>
              <w:t>t sociale des organisations.</w:t>
            </w:r>
          </w:p>
        </w:tc>
      </w:tr>
    </w:tbl>
    <w:p w:rsidR="001E0EA0" w:rsidRPr="00D8352F" w:rsidRDefault="001E0EA0" w:rsidP="00D8352F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1156CF" w:rsidRPr="00D8352F" w:rsidRDefault="00A237FA" w:rsidP="00D8352F">
      <w:pPr>
        <w:pStyle w:val="Paragraphedeliste"/>
        <w:kinsoku w:val="0"/>
        <w:overflowPunct w:val="0"/>
        <w:ind w:left="0"/>
        <w:textAlignment w:val="baseline"/>
        <w:rPr>
          <w:rFonts w:asciiTheme="minorHAnsi" w:hAnsiTheme="minorHAnsi" w:cs="Arial"/>
          <w:sz w:val="22"/>
          <w:szCs w:val="22"/>
        </w:rPr>
      </w:pPr>
      <w:r w:rsidRPr="00D8352F">
        <w:rPr>
          <w:rFonts w:asciiTheme="minorHAnsi" w:hAnsiTheme="minorHAnsi" w:cs="Arial"/>
          <w:sz w:val="22"/>
          <w:szCs w:val="22"/>
        </w:rPr>
        <w:t xml:space="preserve">Voici une </w:t>
      </w:r>
      <w:r w:rsidR="008B15FC" w:rsidRPr="00D8352F">
        <w:rPr>
          <w:rFonts w:asciiTheme="minorHAnsi" w:hAnsiTheme="minorHAnsi" w:cs="Arial"/>
          <w:sz w:val="22"/>
          <w:szCs w:val="22"/>
        </w:rPr>
        <w:t>brève description de chacun d</w:t>
      </w:r>
      <w:r w:rsidRPr="00D8352F">
        <w:rPr>
          <w:rFonts w:asciiTheme="minorHAnsi" w:hAnsiTheme="minorHAnsi" w:cs="Arial"/>
          <w:sz w:val="22"/>
          <w:szCs w:val="22"/>
        </w:rPr>
        <w:t>es principes</w:t>
      </w:r>
      <w:r w:rsidR="008B15FC" w:rsidRPr="00D8352F">
        <w:rPr>
          <w:rFonts w:asciiTheme="minorHAnsi" w:hAnsiTheme="minorHAnsi" w:cs="Arial"/>
          <w:sz w:val="22"/>
          <w:szCs w:val="22"/>
        </w:rPr>
        <w:t xml:space="preserve"> de la GRI</w:t>
      </w:r>
      <w:r w:rsidRPr="00D8352F">
        <w:rPr>
          <w:rFonts w:asciiTheme="minorHAnsi" w:hAnsiTheme="minorHAnsi" w:cs="Arial"/>
          <w:sz w:val="22"/>
          <w:szCs w:val="22"/>
        </w:rPr>
        <w:t> :</w:t>
      </w:r>
    </w:p>
    <w:p w:rsidR="00A237FA" w:rsidRPr="00D8352F" w:rsidRDefault="00A237FA" w:rsidP="00D8352F">
      <w:pPr>
        <w:pStyle w:val="Paragraphedeliste"/>
        <w:kinsoku w:val="0"/>
        <w:overflowPunct w:val="0"/>
        <w:ind w:left="0"/>
        <w:textAlignment w:val="baseline"/>
        <w:rPr>
          <w:rFonts w:asciiTheme="minorHAnsi" w:hAnsiTheme="minorHAnsi" w:cs="Arial"/>
          <w:sz w:val="22"/>
          <w:szCs w:val="22"/>
        </w:rPr>
      </w:pPr>
    </w:p>
    <w:p w:rsidR="00A237FA" w:rsidRPr="00D8352F" w:rsidRDefault="00A237FA" w:rsidP="00D8352F">
      <w:pPr>
        <w:pStyle w:val="Paragraphedeliste"/>
        <w:kinsoku w:val="0"/>
        <w:overflowPunct w:val="0"/>
        <w:ind w:left="0"/>
        <w:textAlignment w:val="baseline"/>
        <w:rPr>
          <w:rFonts w:asciiTheme="minorHAnsi" w:hAnsiTheme="minorHAnsi" w:cs="Arial"/>
          <w:sz w:val="22"/>
          <w:szCs w:val="22"/>
        </w:rPr>
      </w:pPr>
      <w:r w:rsidRPr="00D8352F">
        <w:rPr>
          <w:rFonts w:asciiTheme="minorHAnsi" w:hAnsiTheme="minorHAnsi" w:cs="Arial"/>
          <w:sz w:val="22"/>
          <w:szCs w:val="22"/>
        </w:rPr>
        <w:t>Pertinence</w:t>
      </w:r>
    </w:p>
    <w:tbl>
      <w:tblPr>
        <w:tblStyle w:val="Grilledutableau"/>
        <w:tblW w:w="4948" w:type="pct"/>
        <w:tblLook w:val="04A0" w:firstRow="1" w:lastRow="0" w:firstColumn="1" w:lastColumn="0" w:noHBand="0" w:noVBand="1"/>
      </w:tblPr>
      <w:tblGrid>
        <w:gridCol w:w="10189"/>
      </w:tblGrid>
      <w:tr w:rsidR="00A237FA" w:rsidRPr="00D8352F" w:rsidTr="003F156F">
        <w:trPr>
          <w:trHeight w:val="260"/>
        </w:trPr>
        <w:tc>
          <w:tcPr>
            <w:tcW w:w="5000" w:type="pct"/>
          </w:tcPr>
          <w:p w:rsidR="00A237FA" w:rsidRPr="00D8352F" w:rsidRDefault="00A86100" w:rsidP="003F156F">
            <w:pPr>
              <w:pStyle w:val="Paragraphedeliste"/>
              <w:kinsoku w:val="0"/>
              <w:overflowPunct w:val="0"/>
              <w:ind w:left="0"/>
              <w:jc w:val="both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D8352F">
              <w:rPr>
                <w:rFonts w:asciiTheme="minorHAnsi" w:hAnsiTheme="minorHAnsi" w:cs="Arial"/>
                <w:sz w:val="22"/>
                <w:szCs w:val="22"/>
              </w:rPr>
              <w:t>Les donnée</w:t>
            </w:r>
            <w:r w:rsidR="00A237FA" w:rsidRPr="00D8352F">
              <w:rPr>
                <w:rFonts w:asciiTheme="minorHAnsi" w:hAnsiTheme="minorHAnsi" w:cs="Arial"/>
                <w:sz w:val="22"/>
                <w:szCs w:val="22"/>
              </w:rPr>
              <w:t>s figurant dans le rapport doivent comprendre les thèmes et</w:t>
            </w:r>
            <w:r w:rsidR="008B15FC" w:rsidRPr="00D8352F">
              <w:rPr>
                <w:rFonts w:asciiTheme="minorHAnsi" w:hAnsiTheme="minorHAnsi" w:cs="Arial"/>
                <w:sz w:val="22"/>
                <w:szCs w:val="22"/>
              </w:rPr>
              <w:t xml:space="preserve"> les</w:t>
            </w:r>
            <w:r w:rsidR="00A237FA" w:rsidRPr="00D8352F">
              <w:rPr>
                <w:rFonts w:asciiTheme="minorHAnsi" w:hAnsiTheme="minorHAnsi" w:cs="Arial"/>
                <w:sz w:val="22"/>
                <w:szCs w:val="22"/>
              </w:rPr>
              <w:t xml:space="preserve"> indicateurs </w:t>
            </w:r>
            <w:r w:rsidR="008B15FC" w:rsidRPr="00D8352F">
              <w:rPr>
                <w:rFonts w:asciiTheme="minorHAnsi" w:hAnsiTheme="minorHAnsi" w:cs="Arial"/>
                <w:sz w:val="22"/>
                <w:szCs w:val="22"/>
              </w:rPr>
              <w:t>représentant les effe</w:t>
            </w:r>
            <w:r w:rsidR="00A237FA" w:rsidRPr="00D8352F">
              <w:rPr>
                <w:rFonts w:asciiTheme="minorHAnsi" w:hAnsiTheme="minorHAnsi" w:cs="Arial"/>
                <w:sz w:val="22"/>
                <w:szCs w:val="22"/>
              </w:rPr>
              <w:t xml:space="preserve">ts économiques, environnementaux et sociaux significatifs de l’organisation </w:t>
            </w:r>
            <w:r w:rsidR="00FC6BD4" w:rsidRPr="00D8352F">
              <w:rPr>
                <w:rFonts w:asciiTheme="minorHAnsi" w:hAnsiTheme="minorHAnsi" w:cs="Arial"/>
                <w:sz w:val="22"/>
                <w:szCs w:val="22"/>
              </w:rPr>
              <w:t xml:space="preserve">et </w:t>
            </w:r>
            <w:r w:rsidR="00A237FA" w:rsidRPr="00D8352F">
              <w:rPr>
                <w:rFonts w:asciiTheme="minorHAnsi" w:hAnsiTheme="minorHAnsi" w:cs="Arial"/>
                <w:sz w:val="22"/>
                <w:szCs w:val="22"/>
              </w:rPr>
              <w:t>susceptibles d’</w:t>
            </w:r>
            <w:r w:rsidRPr="00D8352F">
              <w:rPr>
                <w:rFonts w:asciiTheme="minorHAnsi" w:hAnsiTheme="minorHAnsi" w:cs="Arial"/>
                <w:sz w:val="22"/>
                <w:szCs w:val="22"/>
              </w:rPr>
              <w:t>influencer substantiellement</w:t>
            </w:r>
            <w:r w:rsidR="00A237FA" w:rsidRPr="00D8352F">
              <w:rPr>
                <w:rFonts w:asciiTheme="minorHAnsi" w:hAnsiTheme="minorHAnsi" w:cs="Arial"/>
                <w:sz w:val="22"/>
                <w:szCs w:val="22"/>
              </w:rPr>
              <w:t xml:space="preserve"> les appréciations et</w:t>
            </w:r>
            <w:r w:rsidR="008B15FC" w:rsidRPr="00D8352F">
              <w:rPr>
                <w:rFonts w:asciiTheme="minorHAnsi" w:hAnsiTheme="minorHAnsi" w:cs="Arial"/>
                <w:sz w:val="22"/>
                <w:szCs w:val="22"/>
              </w:rPr>
              <w:t xml:space="preserve"> les</w:t>
            </w:r>
            <w:r w:rsidR="00A237FA" w:rsidRPr="00D8352F">
              <w:rPr>
                <w:rFonts w:asciiTheme="minorHAnsi" w:hAnsiTheme="minorHAnsi" w:cs="Arial"/>
                <w:sz w:val="22"/>
                <w:szCs w:val="22"/>
              </w:rPr>
              <w:t xml:space="preserve"> décisions des parties prenantes.</w:t>
            </w:r>
          </w:p>
        </w:tc>
      </w:tr>
    </w:tbl>
    <w:p w:rsidR="00A237FA" w:rsidRPr="00D8352F" w:rsidRDefault="00A237FA" w:rsidP="00D8352F">
      <w:pPr>
        <w:pStyle w:val="Paragraphedeliste"/>
        <w:kinsoku w:val="0"/>
        <w:overflowPunct w:val="0"/>
        <w:ind w:left="0"/>
        <w:textAlignment w:val="baseline"/>
        <w:rPr>
          <w:rFonts w:asciiTheme="minorHAnsi" w:hAnsiTheme="minorHAnsi" w:cs="Arial"/>
          <w:sz w:val="22"/>
          <w:szCs w:val="22"/>
        </w:rPr>
      </w:pPr>
    </w:p>
    <w:p w:rsidR="00A237FA" w:rsidRPr="00D8352F" w:rsidRDefault="00A237FA" w:rsidP="00D8352F">
      <w:pPr>
        <w:pStyle w:val="Paragraphedeliste"/>
        <w:kinsoku w:val="0"/>
        <w:overflowPunct w:val="0"/>
        <w:ind w:left="0"/>
        <w:textAlignment w:val="baseline"/>
        <w:rPr>
          <w:rFonts w:asciiTheme="minorHAnsi" w:hAnsiTheme="minorHAnsi" w:cs="Arial"/>
          <w:sz w:val="22"/>
          <w:szCs w:val="22"/>
        </w:rPr>
      </w:pPr>
      <w:bookmarkStart w:id="0" w:name="_GoBack"/>
      <w:r w:rsidRPr="00D8352F">
        <w:rPr>
          <w:rFonts w:asciiTheme="minorHAnsi" w:hAnsiTheme="minorHAnsi" w:cs="Arial"/>
          <w:sz w:val="22"/>
          <w:szCs w:val="22"/>
        </w:rPr>
        <w:t>Implication des parties prenantes</w:t>
      </w:r>
    </w:p>
    <w:tbl>
      <w:tblPr>
        <w:tblStyle w:val="Grilledutableau"/>
        <w:tblW w:w="4948" w:type="pct"/>
        <w:tblLook w:val="04A0" w:firstRow="1" w:lastRow="0" w:firstColumn="1" w:lastColumn="0" w:noHBand="0" w:noVBand="1"/>
      </w:tblPr>
      <w:tblGrid>
        <w:gridCol w:w="10189"/>
      </w:tblGrid>
      <w:tr w:rsidR="00A237FA" w:rsidRPr="00D8352F" w:rsidTr="003F156F">
        <w:tc>
          <w:tcPr>
            <w:tcW w:w="5000" w:type="pct"/>
          </w:tcPr>
          <w:bookmarkEnd w:id="0"/>
          <w:p w:rsidR="00A237FA" w:rsidRPr="00D8352F" w:rsidRDefault="00A237FA" w:rsidP="003F156F">
            <w:pPr>
              <w:pStyle w:val="Paragraphedeliste"/>
              <w:kinsoku w:val="0"/>
              <w:overflowPunct w:val="0"/>
              <w:ind w:left="0"/>
              <w:jc w:val="both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D8352F">
              <w:rPr>
                <w:rFonts w:asciiTheme="minorHAnsi" w:hAnsiTheme="minorHAnsi" w:cs="Arial"/>
                <w:sz w:val="22"/>
                <w:szCs w:val="22"/>
              </w:rPr>
              <w:t>L’organisation doit</w:t>
            </w:r>
            <w:r w:rsidR="008B15FC" w:rsidRPr="00D8352F">
              <w:rPr>
                <w:rFonts w:asciiTheme="minorHAnsi" w:hAnsiTheme="minorHAnsi" w:cs="Arial"/>
                <w:sz w:val="22"/>
                <w:szCs w:val="22"/>
              </w:rPr>
              <w:t xml:space="preserve"> déterminer quelles sont</w:t>
            </w:r>
            <w:r w:rsidRPr="00D8352F">
              <w:rPr>
                <w:rFonts w:asciiTheme="minorHAnsi" w:hAnsiTheme="minorHAnsi" w:cs="Arial"/>
                <w:sz w:val="22"/>
                <w:szCs w:val="22"/>
              </w:rPr>
              <w:t xml:space="preserve"> ses parties prenantes et explique</w:t>
            </w:r>
            <w:r w:rsidR="00C64012" w:rsidRPr="00D8352F">
              <w:rPr>
                <w:rFonts w:asciiTheme="minorHAnsi" w:hAnsiTheme="minorHAnsi" w:cs="Arial"/>
                <w:sz w:val="22"/>
                <w:szCs w:val="22"/>
              </w:rPr>
              <w:t>r dans l</w:t>
            </w:r>
            <w:r w:rsidRPr="00D8352F">
              <w:rPr>
                <w:rFonts w:asciiTheme="minorHAnsi" w:hAnsiTheme="minorHAnsi" w:cs="Arial"/>
                <w:sz w:val="22"/>
                <w:szCs w:val="22"/>
              </w:rPr>
              <w:t>e rapport comment elle a répondu à leurs attentes et intérêts légitimes.</w:t>
            </w:r>
          </w:p>
        </w:tc>
      </w:tr>
    </w:tbl>
    <w:p w:rsidR="00A5115F" w:rsidRPr="00D8352F" w:rsidRDefault="00A5115F" w:rsidP="00D8352F">
      <w:pPr>
        <w:spacing w:after="0" w:line="240" w:lineRule="auto"/>
        <w:rPr>
          <w:rFonts w:cs="Arial"/>
        </w:rPr>
      </w:pPr>
    </w:p>
    <w:p w:rsidR="00343314" w:rsidRPr="00D8352F" w:rsidRDefault="00A237FA" w:rsidP="00D8352F">
      <w:pPr>
        <w:spacing w:after="0" w:line="240" w:lineRule="auto"/>
        <w:rPr>
          <w:rFonts w:cs="Arial"/>
        </w:rPr>
      </w:pPr>
      <w:r w:rsidRPr="00D8352F">
        <w:rPr>
          <w:rFonts w:cs="Arial"/>
        </w:rPr>
        <w:t>Contexte de durabilité</w:t>
      </w:r>
    </w:p>
    <w:tbl>
      <w:tblPr>
        <w:tblStyle w:val="Grilledutableau"/>
        <w:tblW w:w="4948" w:type="pct"/>
        <w:tblLook w:val="04A0" w:firstRow="1" w:lastRow="0" w:firstColumn="1" w:lastColumn="0" w:noHBand="0" w:noVBand="1"/>
      </w:tblPr>
      <w:tblGrid>
        <w:gridCol w:w="10189"/>
      </w:tblGrid>
      <w:tr w:rsidR="00A237FA" w:rsidRPr="00D8352F" w:rsidTr="003F156F">
        <w:tc>
          <w:tcPr>
            <w:tcW w:w="5000" w:type="pct"/>
          </w:tcPr>
          <w:p w:rsidR="00A237FA" w:rsidRPr="00D8352F" w:rsidRDefault="00C717FE" w:rsidP="003F156F">
            <w:pPr>
              <w:jc w:val="both"/>
              <w:rPr>
                <w:rFonts w:cs="Arial"/>
              </w:rPr>
            </w:pPr>
            <w:r w:rsidRPr="00D8352F">
              <w:rPr>
                <w:rFonts w:cs="Arial"/>
              </w:rPr>
              <w:t>Le rapport doit présenter la performance de l’organisation dans le contexte plus large du développement durable.</w:t>
            </w:r>
          </w:p>
        </w:tc>
      </w:tr>
    </w:tbl>
    <w:p w:rsidR="00A237FA" w:rsidRPr="00D8352F" w:rsidRDefault="00A237FA" w:rsidP="00D8352F">
      <w:pPr>
        <w:spacing w:after="0"/>
        <w:rPr>
          <w:rFonts w:cs="Arial"/>
        </w:rPr>
      </w:pPr>
    </w:p>
    <w:p w:rsidR="00C717FE" w:rsidRPr="00D8352F" w:rsidRDefault="008B15FC" w:rsidP="00D8352F">
      <w:pPr>
        <w:spacing w:after="0"/>
        <w:rPr>
          <w:rFonts w:cs="Arial"/>
        </w:rPr>
      </w:pPr>
      <w:r w:rsidRPr="00D8352F">
        <w:rPr>
          <w:rFonts w:cs="Arial"/>
        </w:rPr>
        <w:t xml:space="preserve">Périodicité et </w:t>
      </w:r>
      <w:r w:rsidR="00C717FE" w:rsidRPr="00D8352F">
        <w:rPr>
          <w:rFonts w:cs="Arial"/>
        </w:rPr>
        <w:t>célérité</w:t>
      </w:r>
    </w:p>
    <w:tbl>
      <w:tblPr>
        <w:tblStyle w:val="Grilledutableau"/>
        <w:tblW w:w="4948" w:type="pct"/>
        <w:tblLook w:val="04A0" w:firstRow="1" w:lastRow="0" w:firstColumn="1" w:lastColumn="0" w:noHBand="0" w:noVBand="1"/>
      </w:tblPr>
      <w:tblGrid>
        <w:gridCol w:w="10189"/>
      </w:tblGrid>
      <w:tr w:rsidR="00C717FE" w:rsidRPr="00D8352F" w:rsidTr="003F156F">
        <w:tc>
          <w:tcPr>
            <w:tcW w:w="5000" w:type="pct"/>
          </w:tcPr>
          <w:p w:rsidR="00C717FE" w:rsidRPr="00D8352F" w:rsidRDefault="00C717FE" w:rsidP="003F156F">
            <w:pPr>
              <w:jc w:val="both"/>
              <w:rPr>
                <w:rFonts w:cs="Arial"/>
              </w:rPr>
            </w:pPr>
            <w:r w:rsidRPr="00D8352F">
              <w:rPr>
                <w:rFonts w:cs="Arial"/>
              </w:rPr>
              <w:t>La publication du rapport a lieu à interval</w:t>
            </w:r>
            <w:r w:rsidR="00A86100" w:rsidRPr="00D8352F">
              <w:rPr>
                <w:rFonts w:cs="Arial"/>
              </w:rPr>
              <w:t>les réguliers et les donnée</w:t>
            </w:r>
            <w:r w:rsidRPr="00D8352F">
              <w:rPr>
                <w:rFonts w:cs="Arial"/>
              </w:rPr>
              <w:t>s sont disponibles à temps pour la prise de décision par les parties prenantes.</w:t>
            </w:r>
          </w:p>
        </w:tc>
      </w:tr>
    </w:tbl>
    <w:p w:rsidR="00C717FE" w:rsidRPr="00D8352F" w:rsidRDefault="00C717FE" w:rsidP="00D8352F">
      <w:pPr>
        <w:spacing w:after="0"/>
        <w:rPr>
          <w:rFonts w:cs="Arial"/>
        </w:rPr>
      </w:pPr>
    </w:p>
    <w:p w:rsidR="00C717FE" w:rsidRPr="00D8352F" w:rsidRDefault="00C717FE" w:rsidP="00D8352F">
      <w:pPr>
        <w:spacing w:after="0"/>
        <w:rPr>
          <w:rFonts w:cs="Arial"/>
        </w:rPr>
      </w:pPr>
      <w:r w:rsidRPr="00D8352F">
        <w:rPr>
          <w:rFonts w:cs="Arial"/>
        </w:rPr>
        <w:t>Clarté</w:t>
      </w:r>
    </w:p>
    <w:tbl>
      <w:tblPr>
        <w:tblStyle w:val="Grilledutableau"/>
        <w:tblW w:w="4948" w:type="pct"/>
        <w:tblLook w:val="04A0" w:firstRow="1" w:lastRow="0" w:firstColumn="1" w:lastColumn="0" w:noHBand="0" w:noVBand="1"/>
      </w:tblPr>
      <w:tblGrid>
        <w:gridCol w:w="10189"/>
      </w:tblGrid>
      <w:tr w:rsidR="00C717FE" w:rsidRPr="00D8352F" w:rsidTr="003F156F">
        <w:tc>
          <w:tcPr>
            <w:tcW w:w="5000" w:type="pct"/>
          </w:tcPr>
          <w:p w:rsidR="00C717FE" w:rsidRPr="00D8352F" w:rsidRDefault="00A86100" w:rsidP="00851E8F">
            <w:pPr>
              <w:jc w:val="both"/>
              <w:rPr>
                <w:rFonts w:cs="Arial"/>
              </w:rPr>
            </w:pPr>
            <w:r w:rsidRPr="00D8352F">
              <w:rPr>
                <w:rFonts w:cs="Arial"/>
              </w:rPr>
              <w:t>Les donnée</w:t>
            </w:r>
            <w:r w:rsidR="00C717FE" w:rsidRPr="00D8352F">
              <w:rPr>
                <w:rFonts w:cs="Arial"/>
              </w:rPr>
              <w:t>s figurant dans le rapport doivent être compréhensibles et accessibles aux parties prenantes.</w:t>
            </w:r>
          </w:p>
        </w:tc>
      </w:tr>
    </w:tbl>
    <w:p w:rsidR="00C717FE" w:rsidRPr="00D8352F" w:rsidRDefault="00C717FE" w:rsidP="00D8352F">
      <w:pPr>
        <w:spacing w:after="0"/>
        <w:rPr>
          <w:rFonts w:cs="Arial"/>
        </w:rPr>
      </w:pPr>
    </w:p>
    <w:p w:rsidR="00C717FE" w:rsidRPr="00D8352F" w:rsidRDefault="00C717FE" w:rsidP="00D8352F">
      <w:pPr>
        <w:spacing w:after="0"/>
        <w:rPr>
          <w:rFonts w:cs="Arial"/>
        </w:rPr>
      </w:pPr>
      <w:r w:rsidRPr="00D8352F">
        <w:rPr>
          <w:rFonts w:cs="Arial"/>
        </w:rPr>
        <w:t>Fiabilité</w:t>
      </w:r>
    </w:p>
    <w:tbl>
      <w:tblPr>
        <w:tblStyle w:val="Grilledutableau"/>
        <w:tblW w:w="4948" w:type="pct"/>
        <w:tblLook w:val="04A0" w:firstRow="1" w:lastRow="0" w:firstColumn="1" w:lastColumn="0" w:noHBand="0" w:noVBand="1"/>
      </w:tblPr>
      <w:tblGrid>
        <w:gridCol w:w="10189"/>
      </w:tblGrid>
      <w:tr w:rsidR="00C717FE" w:rsidRPr="00D8352F" w:rsidTr="003F156F">
        <w:tc>
          <w:tcPr>
            <w:tcW w:w="5000" w:type="pct"/>
          </w:tcPr>
          <w:p w:rsidR="00C717FE" w:rsidRPr="00D8352F" w:rsidRDefault="00A86100" w:rsidP="003F156F">
            <w:pPr>
              <w:jc w:val="both"/>
              <w:rPr>
                <w:rFonts w:cs="Arial"/>
              </w:rPr>
            </w:pPr>
            <w:r w:rsidRPr="00D8352F">
              <w:rPr>
                <w:rFonts w:cs="Arial"/>
              </w:rPr>
              <w:t>Les renseignement</w:t>
            </w:r>
            <w:r w:rsidR="00C717FE" w:rsidRPr="00D8352F">
              <w:rPr>
                <w:rFonts w:cs="Arial"/>
              </w:rPr>
              <w:t xml:space="preserve">s et </w:t>
            </w:r>
            <w:r w:rsidR="008B15FC" w:rsidRPr="00D8352F">
              <w:rPr>
                <w:rFonts w:cs="Arial"/>
              </w:rPr>
              <w:t xml:space="preserve">les </w:t>
            </w:r>
            <w:r w:rsidR="00C717FE" w:rsidRPr="00D8352F">
              <w:rPr>
                <w:rFonts w:cs="Arial"/>
              </w:rPr>
              <w:t>processus utilisés lors de la préparation d’un rapport doivent être rassemblés, enregistrés, compilés, analysés et communiqué</w:t>
            </w:r>
            <w:r w:rsidR="00C64012" w:rsidRPr="00D8352F">
              <w:rPr>
                <w:rFonts w:cs="Arial"/>
              </w:rPr>
              <w:t>s</w:t>
            </w:r>
            <w:r w:rsidR="00C717FE" w:rsidRPr="00D8352F">
              <w:rPr>
                <w:rFonts w:cs="Arial"/>
              </w:rPr>
              <w:t xml:space="preserve"> selon un mode opératoire pouvant être évalué et démontrant la qualité, la pertinence et l’importance de l’information.</w:t>
            </w:r>
          </w:p>
        </w:tc>
      </w:tr>
    </w:tbl>
    <w:p w:rsidR="00C717FE" w:rsidRPr="00D8352F" w:rsidRDefault="00C717FE" w:rsidP="00D8352F">
      <w:pPr>
        <w:spacing w:after="0"/>
        <w:rPr>
          <w:rFonts w:cs="Arial"/>
        </w:rPr>
      </w:pPr>
    </w:p>
    <w:p w:rsidR="00C717FE" w:rsidRPr="00D8352F" w:rsidRDefault="00C717FE" w:rsidP="00D8352F">
      <w:pPr>
        <w:spacing w:after="0"/>
        <w:rPr>
          <w:rFonts w:cs="Arial"/>
        </w:rPr>
      </w:pPr>
      <w:r w:rsidRPr="00D8352F">
        <w:rPr>
          <w:rFonts w:cs="Arial"/>
        </w:rPr>
        <w:t>Exhaustivité</w:t>
      </w:r>
    </w:p>
    <w:tbl>
      <w:tblPr>
        <w:tblStyle w:val="Grilledutableau"/>
        <w:tblW w:w="4948" w:type="pct"/>
        <w:tblLook w:val="04A0" w:firstRow="1" w:lastRow="0" w:firstColumn="1" w:lastColumn="0" w:noHBand="0" w:noVBand="1"/>
      </w:tblPr>
      <w:tblGrid>
        <w:gridCol w:w="10189"/>
      </w:tblGrid>
      <w:tr w:rsidR="00C717FE" w:rsidRPr="00D8352F" w:rsidTr="003F156F">
        <w:tc>
          <w:tcPr>
            <w:tcW w:w="5000" w:type="pct"/>
          </w:tcPr>
          <w:p w:rsidR="00C64012" w:rsidRPr="00D8352F" w:rsidRDefault="00C717FE" w:rsidP="003F156F">
            <w:pPr>
              <w:jc w:val="both"/>
              <w:rPr>
                <w:rFonts w:cs="Arial"/>
              </w:rPr>
            </w:pPr>
            <w:r w:rsidRPr="00D8352F">
              <w:rPr>
                <w:rFonts w:cs="Arial"/>
              </w:rPr>
              <w:t xml:space="preserve">La couverture des thèmes et </w:t>
            </w:r>
            <w:r w:rsidR="008B15FC" w:rsidRPr="00D8352F">
              <w:rPr>
                <w:rFonts w:cs="Arial"/>
              </w:rPr>
              <w:t xml:space="preserve">des </w:t>
            </w:r>
            <w:r w:rsidRPr="00D8352F">
              <w:rPr>
                <w:rFonts w:cs="Arial"/>
              </w:rPr>
              <w:t>indicateurs pertinents ainsi que la détermination du périmètre du rapport d’une organisation doivent être suffisantes pour</w:t>
            </w:r>
            <w:r w:rsidR="00C64012" w:rsidRPr="00D8352F">
              <w:rPr>
                <w:rFonts w:cs="Arial"/>
              </w:rPr>
              <w:t> :</w:t>
            </w:r>
          </w:p>
          <w:p w:rsidR="00C64012" w:rsidRPr="00D8352F" w:rsidRDefault="008B15FC" w:rsidP="003F156F">
            <w:pPr>
              <w:pStyle w:val="Paragraphedeliste"/>
              <w:numPr>
                <w:ilvl w:val="0"/>
                <w:numId w:val="7"/>
              </w:numPr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8352F">
              <w:rPr>
                <w:rFonts w:asciiTheme="minorHAnsi" w:hAnsiTheme="minorHAnsi" w:cs="Arial"/>
                <w:sz w:val="22"/>
                <w:szCs w:val="22"/>
              </w:rPr>
              <w:t>bien représenter les effe</w:t>
            </w:r>
            <w:r w:rsidR="00C717FE" w:rsidRPr="00D8352F">
              <w:rPr>
                <w:rFonts w:asciiTheme="minorHAnsi" w:hAnsiTheme="minorHAnsi" w:cs="Arial"/>
                <w:sz w:val="22"/>
                <w:szCs w:val="22"/>
              </w:rPr>
              <w:t>ts économiques, environnem</w:t>
            </w:r>
            <w:r w:rsidRPr="00D8352F">
              <w:rPr>
                <w:rFonts w:asciiTheme="minorHAnsi" w:hAnsiTheme="minorHAnsi" w:cs="Arial"/>
                <w:sz w:val="22"/>
                <w:szCs w:val="22"/>
              </w:rPr>
              <w:t>entaux et sociaux significatifs;</w:t>
            </w:r>
          </w:p>
          <w:p w:rsidR="00C717FE" w:rsidRPr="00D8352F" w:rsidRDefault="00C64012" w:rsidP="003F156F">
            <w:pPr>
              <w:pStyle w:val="Paragraphedeliste"/>
              <w:numPr>
                <w:ilvl w:val="0"/>
                <w:numId w:val="7"/>
              </w:numPr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8352F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="00C717FE" w:rsidRPr="00D8352F">
              <w:rPr>
                <w:rFonts w:asciiTheme="minorHAnsi" w:hAnsiTheme="minorHAnsi" w:cs="Arial"/>
                <w:sz w:val="22"/>
                <w:szCs w:val="22"/>
              </w:rPr>
              <w:t xml:space="preserve">ermettre aux parties prenantes d’évaluer la performance de l’organisation sur la période </w:t>
            </w:r>
            <w:r w:rsidRPr="00D8352F">
              <w:rPr>
                <w:rFonts w:asciiTheme="minorHAnsi" w:hAnsiTheme="minorHAnsi" w:cs="Arial"/>
                <w:sz w:val="22"/>
                <w:szCs w:val="22"/>
              </w:rPr>
              <w:t>couverte par le rapport</w:t>
            </w:r>
            <w:r w:rsidR="00C717FE" w:rsidRPr="00D8352F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</w:tbl>
    <w:p w:rsidR="00C717FE" w:rsidRPr="00D8352F" w:rsidRDefault="00C717FE" w:rsidP="00D8352F">
      <w:pPr>
        <w:spacing w:after="0"/>
        <w:rPr>
          <w:rFonts w:cs="Arial"/>
        </w:rPr>
      </w:pPr>
    </w:p>
    <w:p w:rsidR="00C717FE" w:rsidRPr="00D8352F" w:rsidRDefault="00C717FE" w:rsidP="003F156F">
      <w:pPr>
        <w:pageBreakBefore/>
        <w:spacing w:after="0"/>
        <w:rPr>
          <w:rFonts w:cs="Arial"/>
        </w:rPr>
      </w:pPr>
      <w:r w:rsidRPr="00D8352F">
        <w:rPr>
          <w:rFonts w:cs="Arial"/>
        </w:rPr>
        <w:lastRenderedPageBreak/>
        <w:t>Équilibre</w:t>
      </w:r>
    </w:p>
    <w:tbl>
      <w:tblPr>
        <w:tblStyle w:val="Grilledutableau"/>
        <w:tblW w:w="0" w:type="auto"/>
        <w:tblInd w:w="18" w:type="dxa"/>
        <w:tblLook w:val="04A0" w:firstRow="1" w:lastRow="0" w:firstColumn="1" w:lastColumn="0" w:noHBand="0" w:noVBand="1"/>
      </w:tblPr>
      <w:tblGrid>
        <w:gridCol w:w="10170"/>
      </w:tblGrid>
      <w:tr w:rsidR="00C717FE" w:rsidRPr="00D8352F" w:rsidTr="003F156F">
        <w:tc>
          <w:tcPr>
            <w:tcW w:w="10170" w:type="dxa"/>
          </w:tcPr>
          <w:p w:rsidR="00C717FE" w:rsidRPr="00D8352F" w:rsidRDefault="00C717FE" w:rsidP="003F156F">
            <w:pPr>
              <w:jc w:val="both"/>
              <w:rPr>
                <w:rFonts w:cs="Arial"/>
              </w:rPr>
            </w:pPr>
            <w:r w:rsidRPr="00D8352F">
              <w:rPr>
                <w:rFonts w:cs="Arial"/>
              </w:rPr>
              <w:t>Le rapport doit refléter les aspects positifs et négatifs de la performance de l’organisation afin de permettre une appréciation raisonnable de la performance globale.</w:t>
            </w:r>
          </w:p>
        </w:tc>
      </w:tr>
    </w:tbl>
    <w:p w:rsidR="00C717FE" w:rsidRPr="00D8352F" w:rsidRDefault="00C717FE" w:rsidP="00D8352F">
      <w:pPr>
        <w:spacing w:after="0"/>
        <w:rPr>
          <w:rFonts w:cs="Arial"/>
        </w:rPr>
      </w:pPr>
    </w:p>
    <w:p w:rsidR="00C717FE" w:rsidRPr="00D8352F" w:rsidRDefault="00C717FE" w:rsidP="00D8352F">
      <w:pPr>
        <w:spacing w:after="0"/>
        <w:rPr>
          <w:rFonts w:cs="Arial"/>
        </w:rPr>
      </w:pPr>
      <w:r w:rsidRPr="00D8352F">
        <w:rPr>
          <w:rFonts w:cs="Arial"/>
        </w:rPr>
        <w:t>Comparabilité</w:t>
      </w:r>
    </w:p>
    <w:tbl>
      <w:tblPr>
        <w:tblStyle w:val="Grilledutableau"/>
        <w:tblW w:w="0" w:type="auto"/>
        <w:tblInd w:w="18" w:type="dxa"/>
        <w:tblLook w:val="04A0" w:firstRow="1" w:lastRow="0" w:firstColumn="1" w:lastColumn="0" w:noHBand="0" w:noVBand="1"/>
      </w:tblPr>
      <w:tblGrid>
        <w:gridCol w:w="10170"/>
      </w:tblGrid>
      <w:tr w:rsidR="00C717FE" w:rsidRPr="00D8352F" w:rsidTr="00D8352F">
        <w:tc>
          <w:tcPr>
            <w:tcW w:w="10170" w:type="dxa"/>
          </w:tcPr>
          <w:p w:rsidR="00C717FE" w:rsidRPr="00D8352F" w:rsidRDefault="00C717FE" w:rsidP="003F156F">
            <w:pPr>
              <w:jc w:val="both"/>
              <w:rPr>
                <w:rFonts w:cs="Arial"/>
              </w:rPr>
            </w:pPr>
            <w:r w:rsidRPr="00D8352F">
              <w:rPr>
                <w:rFonts w:cs="Arial"/>
              </w:rPr>
              <w:t>Le</w:t>
            </w:r>
            <w:r w:rsidR="00A86100" w:rsidRPr="00D8352F">
              <w:rPr>
                <w:rFonts w:cs="Arial"/>
              </w:rPr>
              <w:t>s thématiques et les renseignements doivent être choisis, compilé</w:t>
            </w:r>
            <w:r w:rsidRPr="00D8352F">
              <w:rPr>
                <w:rFonts w:cs="Arial"/>
              </w:rPr>
              <w:t xml:space="preserve">s et </w:t>
            </w:r>
            <w:r w:rsidR="00A86100" w:rsidRPr="00D8352F">
              <w:rPr>
                <w:rFonts w:cs="Arial"/>
              </w:rPr>
              <w:t>rapporté</w:t>
            </w:r>
            <w:r w:rsidRPr="00D8352F">
              <w:rPr>
                <w:rFonts w:cs="Arial"/>
              </w:rPr>
              <w:t>s de façon cohérente.</w:t>
            </w:r>
            <w:r w:rsidR="00A86100" w:rsidRPr="00D8352F">
              <w:rPr>
                <w:rFonts w:cs="Arial"/>
              </w:rPr>
              <w:t xml:space="preserve"> Les donnée</w:t>
            </w:r>
            <w:r w:rsidRPr="00D8352F">
              <w:rPr>
                <w:rFonts w:cs="Arial"/>
              </w:rPr>
              <w:t xml:space="preserve">s rapportées doivent être exposées de telle manière qu’elles permettent aux parties prenantes d’analyser les changements </w:t>
            </w:r>
            <w:r w:rsidR="00FC6BD4" w:rsidRPr="00D8352F">
              <w:rPr>
                <w:rFonts w:cs="Arial"/>
              </w:rPr>
              <w:t>survenus</w:t>
            </w:r>
            <w:r w:rsidRPr="00D8352F">
              <w:rPr>
                <w:rFonts w:cs="Arial"/>
              </w:rPr>
              <w:t xml:space="preserve"> dans la performance de l’organisation au fil d</w:t>
            </w:r>
            <w:r w:rsidR="008B15FC" w:rsidRPr="00D8352F">
              <w:rPr>
                <w:rFonts w:cs="Arial"/>
              </w:rPr>
              <w:t>u temps et qu’elles servent de soutien</w:t>
            </w:r>
            <w:r w:rsidRPr="00D8352F">
              <w:rPr>
                <w:rFonts w:cs="Arial"/>
              </w:rPr>
              <w:t xml:space="preserve"> à l’analyse comparative avec la performance d’autres organisations.</w:t>
            </w:r>
          </w:p>
        </w:tc>
      </w:tr>
    </w:tbl>
    <w:p w:rsidR="00C717FE" w:rsidRPr="00D8352F" w:rsidRDefault="00C717FE" w:rsidP="00D8352F">
      <w:pPr>
        <w:spacing w:after="0"/>
        <w:rPr>
          <w:rFonts w:cs="Arial"/>
        </w:rPr>
      </w:pPr>
    </w:p>
    <w:p w:rsidR="00C717FE" w:rsidRPr="00D8352F" w:rsidRDefault="00C717FE" w:rsidP="00D8352F">
      <w:pPr>
        <w:spacing w:after="0"/>
        <w:rPr>
          <w:rFonts w:cs="Arial"/>
        </w:rPr>
      </w:pPr>
      <w:r w:rsidRPr="00D8352F">
        <w:rPr>
          <w:rFonts w:cs="Arial"/>
        </w:rPr>
        <w:t>Exactitude</w:t>
      </w:r>
    </w:p>
    <w:tbl>
      <w:tblPr>
        <w:tblStyle w:val="Grilledutableau"/>
        <w:tblW w:w="0" w:type="auto"/>
        <w:tblInd w:w="18" w:type="dxa"/>
        <w:tblLook w:val="04A0" w:firstRow="1" w:lastRow="0" w:firstColumn="1" w:lastColumn="0" w:noHBand="0" w:noVBand="1"/>
      </w:tblPr>
      <w:tblGrid>
        <w:gridCol w:w="10170"/>
      </w:tblGrid>
      <w:tr w:rsidR="00C717FE" w:rsidRPr="00D8352F" w:rsidTr="00D8352F">
        <w:tc>
          <w:tcPr>
            <w:tcW w:w="10170" w:type="dxa"/>
          </w:tcPr>
          <w:p w:rsidR="00C717FE" w:rsidRPr="00D8352F" w:rsidRDefault="00A86100" w:rsidP="003F156F">
            <w:pPr>
              <w:jc w:val="both"/>
              <w:rPr>
                <w:rFonts w:cs="Arial"/>
              </w:rPr>
            </w:pPr>
            <w:r w:rsidRPr="00D8352F">
              <w:rPr>
                <w:rFonts w:cs="Arial"/>
              </w:rPr>
              <w:t>Les renseignements rapporté</w:t>
            </w:r>
            <w:r w:rsidR="00FB58A3" w:rsidRPr="00D8352F">
              <w:rPr>
                <w:rFonts w:cs="Arial"/>
              </w:rPr>
              <w:t>s do</w:t>
            </w:r>
            <w:r w:rsidRPr="00D8352F">
              <w:rPr>
                <w:rFonts w:cs="Arial"/>
              </w:rPr>
              <w:t>ivent être suffisamment précis et détaillé</w:t>
            </w:r>
            <w:r w:rsidR="00FB58A3" w:rsidRPr="00D8352F">
              <w:rPr>
                <w:rFonts w:cs="Arial"/>
              </w:rPr>
              <w:t>s afin que les parties prenantes puissent évaluer la</w:t>
            </w:r>
            <w:r w:rsidR="00FA0194" w:rsidRPr="00D8352F">
              <w:rPr>
                <w:rFonts w:cs="Arial"/>
              </w:rPr>
              <w:t xml:space="preserve"> performance de l’organisation.</w:t>
            </w:r>
          </w:p>
        </w:tc>
      </w:tr>
    </w:tbl>
    <w:p w:rsidR="00C717FE" w:rsidRPr="00D8352F" w:rsidRDefault="00C717FE" w:rsidP="00D8352F">
      <w:pPr>
        <w:spacing w:after="0"/>
        <w:rPr>
          <w:rFonts w:cs="Arial"/>
        </w:rPr>
      </w:pPr>
    </w:p>
    <w:p w:rsidR="001156CF" w:rsidRPr="00D8352F" w:rsidRDefault="001156CF" w:rsidP="003F156F">
      <w:pPr>
        <w:pStyle w:val="Paragraphedeliste"/>
        <w:kinsoku w:val="0"/>
        <w:overflowPunct w:val="0"/>
        <w:ind w:left="0"/>
        <w:jc w:val="both"/>
        <w:textAlignment w:val="baseline"/>
        <w:rPr>
          <w:rFonts w:asciiTheme="minorHAnsi" w:hAnsiTheme="minorHAnsi" w:cs="Arial"/>
          <w:sz w:val="22"/>
          <w:szCs w:val="22"/>
        </w:rPr>
      </w:pPr>
      <w:r w:rsidRPr="00D8352F">
        <w:rPr>
          <w:rFonts w:asciiTheme="minorHAnsi" w:hAnsiTheme="minorHAnsi" w:cs="Arial"/>
          <w:sz w:val="22"/>
          <w:szCs w:val="22"/>
        </w:rPr>
        <w:t xml:space="preserve">Pour </w:t>
      </w:r>
      <w:r w:rsidR="008B15FC" w:rsidRPr="00D8352F">
        <w:rPr>
          <w:rFonts w:asciiTheme="minorHAnsi" w:hAnsiTheme="minorHAnsi" w:cs="Arial"/>
          <w:sz w:val="22"/>
          <w:szCs w:val="22"/>
        </w:rPr>
        <w:t>plus de renseignements</w:t>
      </w:r>
      <w:r w:rsidRPr="00D8352F">
        <w:rPr>
          <w:rFonts w:asciiTheme="minorHAnsi" w:hAnsiTheme="minorHAnsi" w:cs="Arial"/>
          <w:sz w:val="22"/>
          <w:szCs w:val="22"/>
        </w:rPr>
        <w:t xml:space="preserve">, voir </w:t>
      </w:r>
      <w:r w:rsidR="008B15FC" w:rsidRPr="00D8352F">
        <w:rPr>
          <w:rFonts w:asciiTheme="minorHAnsi" w:hAnsiTheme="minorHAnsi" w:cs="Arial"/>
          <w:sz w:val="22"/>
          <w:szCs w:val="22"/>
        </w:rPr>
        <w:t xml:space="preserve">le </w:t>
      </w:r>
      <w:r w:rsidRPr="00D8352F">
        <w:rPr>
          <w:rFonts w:asciiTheme="minorHAnsi" w:hAnsiTheme="minorHAnsi" w:cs="Arial"/>
          <w:sz w:val="22"/>
          <w:szCs w:val="22"/>
        </w:rPr>
        <w:t>document «</w:t>
      </w:r>
      <w:r w:rsidR="003F156F">
        <w:rPr>
          <w:rFonts w:asciiTheme="minorHAnsi" w:hAnsiTheme="minorHAnsi" w:cs="Arial"/>
          <w:sz w:val="22"/>
          <w:szCs w:val="22"/>
        </w:rPr>
        <w:t xml:space="preserve"> </w:t>
      </w:r>
      <w:r w:rsidRPr="00D8352F">
        <w:rPr>
          <w:rFonts w:asciiTheme="minorHAnsi" w:hAnsiTheme="minorHAnsi" w:cs="Arial"/>
          <w:sz w:val="22"/>
          <w:szCs w:val="22"/>
        </w:rPr>
        <w:t xml:space="preserve">Lignes directrices pour le </w:t>
      </w:r>
      <w:proofErr w:type="spellStart"/>
      <w:r w:rsidRPr="00D8352F">
        <w:rPr>
          <w:rFonts w:asciiTheme="minorHAnsi" w:hAnsiTheme="minorHAnsi" w:cs="Arial"/>
          <w:sz w:val="22"/>
          <w:szCs w:val="22"/>
        </w:rPr>
        <w:t>reporting</w:t>
      </w:r>
      <w:proofErr w:type="spellEnd"/>
      <w:r w:rsidRPr="00D8352F">
        <w:rPr>
          <w:rFonts w:asciiTheme="minorHAnsi" w:hAnsiTheme="minorHAnsi" w:cs="Arial"/>
          <w:sz w:val="22"/>
          <w:szCs w:val="22"/>
        </w:rPr>
        <w:t xml:space="preserve"> développement durable GRI</w:t>
      </w:r>
      <w:r w:rsidR="003F156F">
        <w:rPr>
          <w:rFonts w:asciiTheme="minorHAnsi" w:hAnsiTheme="minorHAnsi" w:cs="Arial"/>
          <w:sz w:val="22"/>
          <w:szCs w:val="22"/>
        </w:rPr>
        <w:t> </w:t>
      </w:r>
      <w:r w:rsidRPr="00D8352F">
        <w:rPr>
          <w:rFonts w:asciiTheme="minorHAnsi" w:hAnsiTheme="minorHAnsi" w:cs="Arial"/>
          <w:sz w:val="22"/>
          <w:szCs w:val="22"/>
        </w:rPr>
        <w:t xml:space="preserve">» dans </w:t>
      </w:r>
      <w:r w:rsidR="00851E8F">
        <w:rPr>
          <w:rFonts w:asciiTheme="minorHAnsi" w:hAnsiTheme="minorHAnsi" w:cs="Arial"/>
          <w:sz w:val="22"/>
          <w:szCs w:val="22"/>
        </w:rPr>
        <w:t>le dossier</w:t>
      </w:r>
      <w:r w:rsidRPr="00D8352F">
        <w:rPr>
          <w:rFonts w:asciiTheme="minorHAnsi" w:hAnsiTheme="minorHAnsi" w:cs="Arial"/>
          <w:sz w:val="22"/>
          <w:szCs w:val="22"/>
        </w:rPr>
        <w:t xml:space="preserve"> </w:t>
      </w:r>
      <w:r w:rsidR="008B15FC" w:rsidRPr="00D8352F">
        <w:rPr>
          <w:rFonts w:asciiTheme="minorHAnsi" w:hAnsiTheme="minorHAnsi" w:cs="Arial"/>
          <w:sz w:val="22"/>
          <w:szCs w:val="22"/>
        </w:rPr>
        <w:t>« </w:t>
      </w:r>
      <w:r w:rsidRPr="00D8352F">
        <w:rPr>
          <w:rFonts w:asciiTheme="minorHAnsi" w:hAnsiTheme="minorHAnsi" w:cs="Arial"/>
          <w:sz w:val="22"/>
          <w:szCs w:val="22"/>
        </w:rPr>
        <w:t>Référence</w:t>
      </w:r>
      <w:r w:rsidR="008B15FC" w:rsidRPr="00D8352F">
        <w:rPr>
          <w:rFonts w:asciiTheme="minorHAnsi" w:hAnsiTheme="minorHAnsi" w:cs="Arial"/>
          <w:sz w:val="22"/>
          <w:szCs w:val="22"/>
        </w:rPr>
        <w:t>s et outils complémentaires BNQ </w:t>
      </w:r>
      <w:r w:rsidRPr="00D8352F">
        <w:rPr>
          <w:rFonts w:asciiTheme="minorHAnsi" w:hAnsiTheme="minorHAnsi" w:cs="Arial"/>
          <w:sz w:val="22"/>
          <w:szCs w:val="22"/>
        </w:rPr>
        <w:t>21000</w:t>
      </w:r>
      <w:r w:rsidR="008B15FC" w:rsidRPr="00D8352F">
        <w:rPr>
          <w:rFonts w:asciiTheme="minorHAnsi" w:hAnsiTheme="minorHAnsi" w:cs="Arial"/>
          <w:sz w:val="22"/>
          <w:szCs w:val="22"/>
        </w:rPr>
        <w:t> ».</w:t>
      </w:r>
    </w:p>
    <w:p w:rsidR="00D8352F" w:rsidRPr="00D8352F" w:rsidRDefault="00D8352F" w:rsidP="00D8352F">
      <w:pPr>
        <w:spacing w:after="0"/>
        <w:rPr>
          <w:rFonts w:cs="Arial"/>
        </w:rPr>
      </w:pPr>
    </w:p>
    <w:sectPr w:rsidR="00D8352F" w:rsidRPr="00D8352F" w:rsidSect="00D8352F">
      <w:headerReference w:type="default" r:id="rId8"/>
      <w:footerReference w:type="default" r:id="rId9"/>
      <w:pgSz w:w="12240" w:h="15840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311" w:rsidRDefault="00523311" w:rsidP="00A237FA">
      <w:pPr>
        <w:spacing w:after="0" w:line="240" w:lineRule="auto"/>
      </w:pPr>
      <w:r>
        <w:separator/>
      </w:r>
    </w:p>
  </w:endnote>
  <w:endnote w:type="continuationSeparator" w:id="0">
    <w:p w:rsidR="00523311" w:rsidRDefault="00523311" w:rsidP="00A2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1"/>
      <w:gridCol w:w="3134"/>
      <w:gridCol w:w="3681"/>
    </w:tblGrid>
    <w:tr w:rsidR="00D8352F" w:rsidRPr="009B6968" w:rsidTr="005C43B5">
      <w:tc>
        <w:tcPr>
          <w:tcW w:w="3798" w:type="dxa"/>
          <w:vAlign w:val="bottom"/>
        </w:tcPr>
        <w:p w:rsidR="00D8352F" w:rsidRPr="009B6968" w:rsidRDefault="00F71BC8" w:rsidP="005C43B5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13/03/25</w:t>
          </w:r>
        </w:p>
      </w:tc>
      <w:tc>
        <w:tcPr>
          <w:tcW w:w="3015" w:type="dxa"/>
          <w:vAlign w:val="bottom"/>
        </w:tcPr>
        <w:p w:rsidR="00D8352F" w:rsidRPr="009B6968" w:rsidRDefault="00D8352F" w:rsidP="005C43B5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B6968">
            <w:rPr>
              <w:sz w:val="18"/>
              <w:szCs w:val="18"/>
            </w:rPr>
            <w:tab/>
          </w:r>
          <w:r w:rsidR="00F71BC8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039BB4FB" wp14:editId="077AAA9F">
                <wp:extent cx="1853289" cy="638355"/>
                <wp:effectExtent l="0" t="0" r="0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5210" cy="649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D8352F" w:rsidRPr="009B6968" w:rsidRDefault="00523311" w:rsidP="005C43B5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D8352F" w:rsidRPr="009B6968">
                <w:rPr>
                  <w:sz w:val="18"/>
                  <w:szCs w:val="18"/>
                </w:rPr>
                <w:br/>
              </w:r>
              <w:r w:rsidR="00D8352F" w:rsidRPr="009B6968">
                <w:rPr>
                  <w:sz w:val="18"/>
                  <w:szCs w:val="18"/>
                </w:rPr>
                <w:br/>
              </w:r>
              <w:r w:rsidR="00D8352F" w:rsidRPr="009B6968">
                <w:rPr>
                  <w:sz w:val="18"/>
                  <w:szCs w:val="18"/>
                </w:rPr>
                <w:fldChar w:fldCharType="begin"/>
              </w:r>
              <w:r w:rsidR="00D8352F" w:rsidRPr="009B6968">
                <w:rPr>
                  <w:sz w:val="18"/>
                  <w:szCs w:val="18"/>
                </w:rPr>
                <w:instrText>PAGE   \* MERGEFORMAT</w:instrText>
              </w:r>
              <w:r w:rsidR="00D8352F" w:rsidRPr="009B6968">
                <w:rPr>
                  <w:sz w:val="18"/>
                  <w:szCs w:val="18"/>
                </w:rPr>
                <w:fldChar w:fldCharType="separate"/>
              </w:r>
              <w:r w:rsidR="00F71BC8" w:rsidRPr="00F71BC8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D8352F" w:rsidRPr="009B6968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D8352F" w:rsidRPr="003D7067" w:rsidRDefault="00D8352F" w:rsidP="00D8352F">
    <w:pPr>
      <w:spacing w:after="12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311" w:rsidRDefault="00523311" w:rsidP="00A237FA">
      <w:pPr>
        <w:spacing w:after="0" w:line="240" w:lineRule="auto"/>
      </w:pPr>
      <w:r>
        <w:separator/>
      </w:r>
    </w:p>
  </w:footnote>
  <w:footnote w:type="continuationSeparator" w:id="0">
    <w:p w:rsidR="00523311" w:rsidRDefault="00523311" w:rsidP="00A23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401"/>
      <w:gridCol w:w="4808"/>
    </w:tblGrid>
    <w:tr w:rsidR="00D8352F" w:rsidRPr="00081789" w:rsidTr="005C43B5">
      <w:trPr>
        <w:trHeight w:val="383"/>
      </w:trPr>
      <w:tc>
        <w:tcPr>
          <w:tcW w:w="2645" w:type="pct"/>
          <w:tcBorders>
            <w:bottom w:val="single" w:sz="4" w:space="0" w:color="943634"/>
          </w:tcBorders>
          <w:shd w:val="clear" w:color="auto" w:fill="0D0D0D"/>
        </w:tcPr>
        <w:p w:rsidR="00D8352F" w:rsidRPr="00682610" w:rsidRDefault="00D8352F" w:rsidP="005C43B5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Communiquer vos engagements</w:t>
          </w:r>
        </w:p>
      </w:tc>
      <w:tc>
        <w:tcPr>
          <w:tcW w:w="2355" w:type="pct"/>
          <w:tcBorders>
            <w:bottom w:val="single" w:sz="4" w:space="0" w:color="auto"/>
          </w:tcBorders>
        </w:tcPr>
        <w:p w:rsidR="00D8352F" w:rsidRPr="00081789" w:rsidRDefault="00F71BC8" w:rsidP="005C43B5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V2-6-2-3_</w:t>
          </w:r>
          <w:r w:rsidR="00D8352F">
            <w:rPr>
              <w:rFonts w:cs="Calibri"/>
              <w:b/>
              <w:sz w:val="28"/>
              <w:szCs w:val="28"/>
            </w:rPr>
            <w:t xml:space="preserve"> Élaborer votre stratégie de communication</w:t>
          </w:r>
        </w:p>
      </w:tc>
    </w:tr>
  </w:tbl>
  <w:p w:rsidR="00D8352F" w:rsidRPr="00117139" w:rsidRDefault="00D8352F" w:rsidP="00D8352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1pt;height:21.75pt" o:bullet="t">
        <v:imagedata r:id="rId1" o:title="artC0E"/>
      </v:shape>
    </w:pict>
  </w:numPicBullet>
  <w:abstractNum w:abstractNumId="0">
    <w:nsid w:val="03061A61"/>
    <w:multiLevelType w:val="hybridMultilevel"/>
    <w:tmpl w:val="6212EB20"/>
    <w:lvl w:ilvl="0" w:tplc="C750EE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FCCB1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141D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5288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7A982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2AEE7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4A9F2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EE9E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3209F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566702"/>
    <w:multiLevelType w:val="hybridMultilevel"/>
    <w:tmpl w:val="14D6D07E"/>
    <w:lvl w:ilvl="0" w:tplc="0718A8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EC60E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48D2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FEC28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BA6D7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17E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5207B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8ED5E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3C0C7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DDA2E89"/>
    <w:multiLevelType w:val="hybridMultilevel"/>
    <w:tmpl w:val="165411BE"/>
    <w:lvl w:ilvl="0" w:tplc="0CDA84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9ED3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4A1FB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96ECE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8A478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B6C8E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E41A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482A6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C4360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F065E3E"/>
    <w:multiLevelType w:val="hybridMultilevel"/>
    <w:tmpl w:val="73981710"/>
    <w:lvl w:ilvl="0" w:tplc="343412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5847B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7417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DC682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74B1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CA4E1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EA8CF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C2F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4C977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F8A28AD"/>
    <w:multiLevelType w:val="hybridMultilevel"/>
    <w:tmpl w:val="49E4258C"/>
    <w:lvl w:ilvl="0" w:tplc="C02E33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22D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1839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6ABC7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8CEC8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F206E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56385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D0B00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386AD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0D90CB8"/>
    <w:multiLevelType w:val="hybridMultilevel"/>
    <w:tmpl w:val="385CAEEE"/>
    <w:lvl w:ilvl="0" w:tplc="510E07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A040E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28F8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647BA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3EB1D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A2C25F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AC17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BE5E6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F0DA3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38329E8"/>
    <w:multiLevelType w:val="hybridMultilevel"/>
    <w:tmpl w:val="E21262A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7FA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2030"/>
    <w:rsid w:val="000E4BE5"/>
    <w:rsid w:val="000E6DFD"/>
    <w:rsid w:val="000E7F3C"/>
    <w:rsid w:val="000F0136"/>
    <w:rsid w:val="000F446C"/>
    <w:rsid w:val="00102760"/>
    <w:rsid w:val="00102B0E"/>
    <w:rsid w:val="001064D0"/>
    <w:rsid w:val="00106AE0"/>
    <w:rsid w:val="001114A2"/>
    <w:rsid w:val="001156CF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5026B"/>
    <w:rsid w:val="00154607"/>
    <w:rsid w:val="00175357"/>
    <w:rsid w:val="00180209"/>
    <w:rsid w:val="001836C1"/>
    <w:rsid w:val="00185733"/>
    <w:rsid w:val="00185CCA"/>
    <w:rsid w:val="001874E9"/>
    <w:rsid w:val="0019017E"/>
    <w:rsid w:val="0019108C"/>
    <w:rsid w:val="00196AF1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04E9"/>
    <w:rsid w:val="001C13EF"/>
    <w:rsid w:val="001C2E4D"/>
    <w:rsid w:val="001C4E61"/>
    <w:rsid w:val="001C7D23"/>
    <w:rsid w:val="001D72B0"/>
    <w:rsid w:val="001E0EA0"/>
    <w:rsid w:val="001E12AD"/>
    <w:rsid w:val="001E3D1F"/>
    <w:rsid w:val="001E675A"/>
    <w:rsid w:val="001E6CDA"/>
    <w:rsid w:val="001E6DD5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2D23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5937"/>
    <w:rsid w:val="00256EAF"/>
    <w:rsid w:val="00257CC5"/>
    <w:rsid w:val="00262D35"/>
    <w:rsid w:val="00277B75"/>
    <w:rsid w:val="0028413E"/>
    <w:rsid w:val="00284ADD"/>
    <w:rsid w:val="00285898"/>
    <w:rsid w:val="00286D2C"/>
    <w:rsid w:val="00287444"/>
    <w:rsid w:val="002877B9"/>
    <w:rsid w:val="002930AE"/>
    <w:rsid w:val="002942D6"/>
    <w:rsid w:val="00297F46"/>
    <w:rsid w:val="002A78DA"/>
    <w:rsid w:val="002B137B"/>
    <w:rsid w:val="002B3198"/>
    <w:rsid w:val="002B3683"/>
    <w:rsid w:val="002B40DD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7557"/>
    <w:rsid w:val="00331354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30A6"/>
    <w:rsid w:val="00385D3E"/>
    <w:rsid w:val="00391B95"/>
    <w:rsid w:val="00391F54"/>
    <w:rsid w:val="00392445"/>
    <w:rsid w:val="003947E4"/>
    <w:rsid w:val="00395B55"/>
    <w:rsid w:val="003A3CAF"/>
    <w:rsid w:val="003A4856"/>
    <w:rsid w:val="003A5CC1"/>
    <w:rsid w:val="003A5D76"/>
    <w:rsid w:val="003B38BC"/>
    <w:rsid w:val="003B3918"/>
    <w:rsid w:val="003B7485"/>
    <w:rsid w:val="003B7D6A"/>
    <w:rsid w:val="003C00C5"/>
    <w:rsid w:val="003C011D"/>
    <w:rsid w:val="003C06D7"/>
    <w:rsid w:val="003C2067"/>
    <w:rsid w:val="003C57B1"/>
    <w:rsid w:val="003C5AFC"/>
    <w:rsid w:val="003D1214"/>
    <w:rsid w:val="003D25AB"/>
    <w:rsid w:val="003E22C0"/>
    <w:rsid w:val="003E5F9F"/>
    <w:rsid w:val="003E6950"/>
    <w:rsid w:val="003E6974"/>
    <w:rsid w:val="003F10EF"/>
    <w:rsid w:val="003F156F"/>
    <w:rsid w:val="003F28E3"/>
    <w:rsid w:val="003F4723"/>
    <w:rsid w:val="003F57D8"/>
    <w:rsid w:val="003F71E7"/>
    <w:rsid w:val="003F72CF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39C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2D8C"/>
    <w:rsid w:val="00487089"/>
    <w:rsid w:val="004A0B61"/>
    <w:rsid w:val="004A718C"/>
    <w:rsid w:val="004B0284"/>
    <w:rsid w:val="004B256B"/>
    <w:rsid w:val="004B3BD7"/>
    <w:rsid w:val="004B50A0"/>
    <w:rsid w:val="004C17A8"/>
    <w:rsid w:val="004C49DB"/>
    <w:rsid w:val="004C49F1"/>
    <w:rsid w:val="004C5891"/>
    <w:rsid w:val="004C5C30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3373"/>
    <w:rsid w:val="00514E94"/>
    <w:rsid w:val="00516F2D"/>
    <w:rsid w:val="005219E1"/>
    <w:rsid w:val="00523311"/>
    <w:rsid w:val="00524AB4"/>
    <w:rsid w:val="00533398"/>
    <w:rsid w:val="005339F9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3F7E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E37"/>
    <w:rsid w:val="005C7C6B"/>
    <w:rsid w:val="005D0F8F"/>
    <w:rsid w:val="005D2022"/>
    <w:rsid w:val="005D2128"/>
    <w:rsid w:val="005D2AB4"/>
    <w:rsid w:val="005D2CF2"/>
    <w:rsid w:val="005D471A"/>
    <w:rsid w:val="005E04E7"/>
    <w:rsid w:val="005E27E1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A74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9D7"/>
    <w:rsid w:val="00661CC8"/>
    <w:rsid w:val="0066419D"/>
    <w:rsid w:val="00664C82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05A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187E"/>
    <w:rsid w:val="00736662"/>
    <w:rsid w:val="00741AE0"/>
    <w:rsid w:val="00741F83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42FF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5DA"/>
    <w:rsid w:val="007A0789"/>
    <w:rsid w:val="007A2A35"/>
    <w:rsid w:val="007A3EBF"/>
    <w:rsid w:val="007A63B0"/>
    <w:rsid w:val="007B1AE6"/>
    <w:rsid w:val="007B5076"/>
    <w:rsid w:val="007B5454"/>
    <w:rsid w:val="007B7216"/>
    <w:rsid w:val="007C0004"/>
    <w:rsid w:val="007D087F"/>
    <w:rsid w:val="007D482E"/>
    <w:rsid w:val="007E05AE"/>
    <w:rsid w:val="007E1E7C"/>
    <w:rsid w:val="007F40CF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1E8F"/>
    <w:rsid w:val="00852291"/>
    <w:rsid w:val="00853A43"/>
    <w:rsid w:val="008551D7"/>
    <w:rsid w:val="00860394"/>
    <w:rsid w:val="0086254F"/>
    <w:rsid w:val="008702A8"/>
    <w:rsid w:val="00870609"/>
    <w:rsid w:val="0087553A"/>
    <w:rsid w:val="008756FB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15FC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51FF"/>
    <w:rsid w:val="008F778E"/>
    <w:rsid w:val="00900DC1"/>
    <w:rsid w:val="0090114E"/>
    <w:rsid w:val="00905183"/>
    <w:rsid w:val="009131FD"/>
    <w:rsid w:val="009227B3"/>
    <w:rsid w:val="00926DB6"/>
    <w:rsid w:val="00927F77"/>
    <w:rsid w:val="00937767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2069"/>
    <w:rsid w:val="00984B06"/>
    <w:rsid w:val="0098713F"/>
    <w:rsid w:val="00994724"/>
    <w:rsid w:val="009A647F"/>
    <w:rsid w:val="009A691D"/>
    <w:rsid w:val="009A7EA3"/>
    <w:rsid w:val="009B2379"/>
    <w:rsid w:val="009B3678"/>
    <w:rsid w:val="009B7AA2"/>
    <w:rsid w:val="009C1E58"/>
    <w:rsid w:val="009C5091"/>
    <w:rsid w:val="009C7AFE"/>
    <w:rsid w:val="009D22DB"/>
    <w:rsid w:val="009D2D11"/>
    <w:rsid w:val="009D6FC3"/>
    <w:rsid w:val="009D747A"/>
    <w:rsid w:val="009E0569"/>
    <w:rsid w:val="009E1778"/>
    <w:rsid w:val="009E2715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17CB8"/>
    <w:rsid w:val="00A20203"/>
    <w:rsid w:val="00A229D0"/>
    <w:rsid w:val="00A2342D"/>
    <w:rsid w:val="00A237FA"/>
    <w:rsid w:val="00A249F5"/>
    <w:rsid w:val="00A35780"/>
    <w:rsid w:val="00A36BBA"/>
    <w:rsid w:val="00A50CA3"/>
    <w:rsid w:val="00A5115F"/>
    <w:rsid w:val="00A51326"/>
    <w:rsid w:val="00A51329"/>
    <w:rsid w:val="00A52CED"/>
    <w:rsid w:val="00A70D51"/>
    <w:rsid w:val="00A74BF3"/>
    <w:rsid w:val="00A75CEC"/>
    <w:rsid w:val="00A80557"/>
    <w:rsid w:val="00A84189"/>
    <w:rsid w:val="00A86100"/>
    <w:rsid w:val="00A91E7F"/>
    <w:rsid w:val="00A92CEB"/>
    <w:rsid w:val="00A92E0B"/>
    <w:rsid w:val="00A97C5D"/>
    <w:rsid w:val="00AA14E3"/>
    <w:rsid w:val="00AA6A66"/>
    <w:rsid w:val="00AA6DD1"/>
    <w:rsid w:val="00AA754D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2283"/>
    <w:rsid w:val="00AE3B26"/>
    <w:rsid w:val="00AF0FB3"/>
    <w:rsid w:val="00AF2B19"/>
    <w:rsid w:val="00AF5168"/>
    <w:rsid w:val="00B0103D"/>
    <w:rsid w:val="00B0475F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30368"/>
    <w:rsid w:val="00C31249"/>
    <w:rsid w:val="00C3216E"/>
    <w:rsid w:val="00C3303E"/>
    <w:rsid w:val="00C33077"/>
    <w:rsid w:val="00C3507A"/>
    <w:rsid w:val="00C41397"/>
    <w:rsid w:val="00C4153C"/>
    <w:rsid w:val="00C45CAB"/>
    <w:rsid w:val="00C50AFB"/>
    <w:rsid w:val="00C53B5D"/>
    <w:rsid w:val="00C57190"/>
    <w:rsid w:val="00C60153"/>
    <w:rsid w:val="00C635BB"/>
    <w:rsid w:val="00C64012"/>
    <w:rsid w:val="00C65333"/>
    <w:rsid w:val="00C65F86"/>
    <w:rsid w:val="00C66FE8"/>
    <w:rsid w:val="00C67627"/>
    <w:rsid w:val="00C706EE"/>
    <w:rsid w:val="00C7097D"/>
    <w:rsid w:val="00C717FE"/>
    <w:rsid w:val="00C7613E"/>
    <w:rsid w:val="00C76349"/>
    <w:rsid w:val="00C83495"/>
    <w:rsid w:val="00C85FCB"/>
    <w:rsid w:val="00C86F9E"/>
    <w:rsid w:val="00C902C1"/>
    <w:rsid w:val="00C93F93"/>
    <w:rsid w:val="00CA0A7E"/>
    <w:rsid w:val="00CA5759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6518F"/>
    <w:rsid w:val="00D70271"/>
    <w:rsid w:val="00D7194B"/>
    <w:rsid w:val="00D74CA8"/>
    <w:rsid w:val="00D819AC"/>
    <w:rsid w:val="00D8282C"/>
    <w:rsid w:val="00D8352F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4E2F"/>
    <w:rsid w:val="00DF149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F0EFF"/>
    <w:rsid w:val="00EF2278"/>
    <w:rsid w:val="00EF3E8B"/>
    <w:rsid w:val="00F004B6"/>
    <w:rsid w:val="00F01338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25075"/>
    <w:rsid w:val="00F302B5"/>
    <w:rsid w:val="00F35AE8"/>
    <w:rsid w:val="00F37521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BC8"/>
    <w:rsid w:val="00F71D64"/>
    <w:rsid w:val="00F76224"/>
    <w:rsid w:val="00F777E4"/>
    <w:rsid w:val="00F82487"/>
    <w:rsid w:val="00F92ECE"/>
    <w:rsid w:val="00F93C65"/>
    <w:rsid w:val="00F97471"/>
    <w:rsid w:val="00F97C9D"/>
    <w:rsid w:val="00FA0194"/>
    <w:rsid w:val="00FA15E7"/>
    <w:rsid w:val="00FA19EC"/>
    <w:rsid w:val="00FA31EB"/>
    <w:rsid w:val="00FA44FE"/>
    <w:rsid w:val="00FB1E91"/>
    <w:rsid w:val="00FB23D3"/>
    <w:rsid w:val="00FB58A3"/>
    <w:rsid w:val="00FB67A7"/>
    <w:rsid w:val="00FC098E"/>
    <w:rsid w:val="00FC1E98"/>
    <w:rsid w:val="00FC4E6C"/>
    <w:rsid w:val="00FC5C87"/>
    <w:rsid w:val="00FC6BD4"/>
    <w:rsid w:val="00FD0716"/>
    <w:rsid w:val="00FD315F"/>
    <w:rsid w:val="00FE2C6E"/>
    <w:rsid w:val="00FE58F1"/>
    <w:rsid w:val="00FF0190"/>
    <w:rsid w:val="00FF0D7D"/>
    <w:rsid w:val="00FF11B4"/>
    <w:rsid w:val="00FF252E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3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En-tte">
    <w:name w:val="header"/>
    <w:basedOn w:val="Normal"/>
    <w:link w:val="En-tteCar"/>
    <w:uiPriority w:val="99"/>
    <w:unhideWhenUsed/>
    <w:rsid w:val="00A237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37FA"/>
  </w:style>
  <w:style w:type="paragraph" w:styleId="Pieddepage">
    <w:name w:val="footer"/>
    <w:basedOn w:val="Normal"/>
    <w:link w:val="PieddepageCar"/>
    <w:uiPriority w:val="99"/>
    <w:unhideWhenUsed/>
    <w:rsid w:val="00A237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37FA"/>
  </w:style>
  <w:style w:type="paragraph" w:styleId="Textedebulles">
    <w:name w:val="Balloon Text"/>
    <w:basedOn w:val="Normal"/>
    <w:link w:val="TextedebullesCar"/>
    <w:uiPriority w:val="99"/>
    <w:semiHidden/>
    <w:unhideWhenUsed/>
    <w:rsid w:val="00A23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37F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23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3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En-tte">
    <w:name w:val="header"/>
    <w:basedOn w:val="Normal"/>
    <w:link w:val="En-tteCar"/>
    <w:uiPriority w:val="99"/>
    <w:unhideWhenUsed/>
    <w:rsid w:val="00A237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37FA"/>
  </w:style>
  <w:style w:type="paragraph" w:styleId="Pieddepage">
    <w:name w:val="footer"/>
    <w:basedOn w:val="Normal"/>
    <w:link w:val="PieddepageCar"/>
    <w:uiPriority w:val="99"/>
    <w:unhideWhenUsed/>
    <w:rsid w:val="00A237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37FA"/>
  </w:style>
  <w:style w:type="paragraph" w:styleId="Textedebulles">
    <w:name w:val="Balloon Text"/>
    <w:basedOn w:val="Normal"/>
    <w:link w:val="TextedebullesCar"/>
    <w:uiPriority w:val="99"/>
    <w:semiHidden/>
    <w:unhideWhenUsed/>
    <w:rsid w:val="00A23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37F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23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0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0285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635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10983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665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3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745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6</cp:revision>
  <dcterms:created xsi:type="dcterms:W3CDTF">2012-12-13T20:36:00Z</dcterms:created>
  <dcterms:modified xsi:type="dcterms:W3CDTF">2013-03-25T14:25:00Z</dcterms:modified>
</cp:coreProperties>
</file>