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DA" w:rsidRDefault="00A93A22" w:rsidP="00B47D8E">
      <w:pPr>
        <w:jc w:val="center"/>
        <w:rPr>
          <w:rFonts w:eastAsia="Calibri" w:cstheme="minorHAnsi"/>
          <w:b/>
          <w:color w:val="00B050"/>
          <w:sz w:val="28"/>
          <w:szCs w:val="28"/>
        </w:rPr>
      </w:pPr>
      <w:bookmarkStart w:id="0" w:name="_GoBack"/>
      <w:bookmarkEnd w:id="0"/>
      <w:r>
        <w:rPr>
          <w:rFonts w:eastAsia="Calibri" w:cstheme="minorHAnsi"/>
          <w:b/>
          <w:color w:val="00B050"/>
          <w:sz w:val="28"/>
          <w:szCs w:val="28"/>
        </w:rPr>
        <w:t>Grille</w:t>
      </w:r>
      <w:r w:rsidRPr="00D67ADA">
        <w:rPr>
          <w:rFonts w:eastAsia="Calibri" w:cstheme="minorHAnsi"/>
          <w:b/>
          <w:color w:val="00B050"/>
          <w:sz w:val="28"/>
          <w:szCs w:val="28"/>
        </w:rPr>
        <w:t xml:space="preserve"> d’autoévaluation</w:t>
      </w:r>
    </w:p>
    <w:p w:rsidR="00A93A22" w:rsidRPr="00A93A22" w:rsidRDefault="00A93A22" w:rsidP="00A93A22">
      <w:pPr>
        <w:jc w:val="center"/>
        <w:rPr>
          <w:rFonts w:cs="Calibri"/>
          <w:b/>
          <w:color w:val="00B050"/>
          <w:sz w:val="28"/>
          <w:szCs w:val="28"/>
        </w:rPr>
      </w:pPr>
      <w:r w:rsidRPr="00D67ADA">
        <w:rPr>
          <w:rFonts w:cs="Calibri"/>
          <w:b/>
          <w:color w:val="00B050"/>
          <w:sz w:val="28"/>
          <w:szCs w:val="28"/>
        </w:rPr>
        <w:t>Guide</w:t>
      </w:r>
      <w:r w:rsidRPr="00A93A22">
        <w:rPr>
          <w:rFonts w:cs="Calibri"/>
          <w:b/>
          <w:color w:val="00B050"/>
          <w:sz w:val="28"/>
          <w:szCs w:val="28"/>
        </w:rPr>
        <w:t xml:space="preserve"> d’utilisation</w:t>
      </w:r>
    </w:p>
    <w:p w:rsidR="00AB0854" w:rsidRPr="00AC5856" w:rsidRDefault="007F435F" w:rsidP="00AB085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Objectif</w:t>
      </w:r>
      <w:r w:rsidR="00AB0854" w:rsidRPr="00AC5856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AC5856" w:rsidTr="00AB0854">
        <w:tc>
          <w:tcPr>
            <w:tcW w:w="10940" w:type="dxa"/>
          </w:tcPr>
          <w:p w:rsidR="001464F4" w:rsidRPr="00AC5856" w:rsidRDefault="007F435F" w:rsidP="007F435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Pr="00603EB8">
              <w:rPr>
                <w:rFonts w:cstheme="minorHAnsi"/>
              </w:rPr>
              <w:t xml:space="preserve">a grille d’autoévaluation présente un état des lieux de la maturité des pratiques de gestion de l’organisation en développement durable selon la perception des </w:t>
            </w:r>
            <w:r w:rsidR="00563062">
              <w:rPr>
                <w:rFonts w:cstheme="minorHAnsi"/>
              </w:rPr>
              <w:t>joueurs</w:t>
            </w:r>
            <w:r w:rsidRPr="00603EB8">
              <w:rPr>
                <w:rFonts w:cstheme="minorHAnsi"/>
              </w:rPr>
              <w:t xml:space="preserve"> clés de l’organisation.</w:t>
            </w:r>
          </w:p>
        </w:tc>
      </w:tr>
    </w:tbl>
    <w:p w:rsidR="00D67ADA" w:rsidRDefault="00D67ADA" w:rsidP="00AB0854">
      <w:pPr>
        <w:spacing w:after="0"/>
        <w:rPr>
          <w:rFonts w:cstheme="minorHAnsi"/>
          <w:b/>
        </w:rPr>
      </w:pPr>
    </w:p>
    <w:p w:rsidR="00AB0854" w:rsidRPr="00AC5856" w:rsidRDefault="003200B6" w:rsidP="00AB0854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Instruction</w:t>
      </w:r>
      <w:r w:rsidR="007F435F">
        <w:rPr>
          <w:rFonts w:cstheme="minorHAnsi"/>
          <w:b/>
        </w:rPr>
        <w:t>s</w:t>
      </w:r>
      <w:r w:rsidR="00AB0854" w:rsidRPr="00742867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136310" w:rsidTr="00A93A22">
        <w:tc>
          <w:tcPr>
            <w:tcW w:w="10296" w:type="dxa"/>
          </w:tcPr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  <w:r w:rsidRPr="00603EB8">
              <w:rPr>
                <w:rFonts w:cstheme="minorHAnsi"/>
              </w:rPr>
              <w:t>La grille d’autoévaluation est un outil de</w:t>
            </w:r>
            <w:r w:rsidR="00B47D8E">
              <w:rPr>
                <w:rFonts w:cstheme="minorHAnsi"/>
              </w:rPr>
              <w:t xml:space="preserve"> la Méthode BNQ </w:t>
            </w:r>
            <w:r w:rsidRPr="00603EB8">
              <w:rPr>
                <w:rFonts w:cstheme="minorHAnsi"/>
              </w:rPr>
              <w:t xml:space="preserve">21000 qui se </w:t>
            </w:r>
            <w:r w:rsidR="00563062">
              <w:rPr>
                <w:rFonts w:cstheme="minorHAnsi"/>
              </w:rPr>
              <w:t>re</w:t>
            </w:r>
            <w:r w:rsidR="00B47D8E">
              <w:rPr>
                <w:rFonts w:cstheme="minorHAnsi"/>
              </w:rPr>
              <w:t>trouve</w:t>
            </w:r>
            <w:r w:rsidR="00563062">
              <w:rPr>
                <w:rFonts w:cstheme="minorHAnsi"/>
              </w:rPr>
              <w:t xml:space="preserve"> également</w:t>
            </w:r>
            <w:r w:rsidR="00B47D8E">
              <w:rPr>
                <w:rFonts w:cstheme="minorHAnsi"/>
              </w:rPr>
              <w:t xml:space="preserve"> en annexe du Guide BNQ </w:t>
            </w:r>
            <w:r w:rsidRPr="00603EB8">
              <w:rPr>
                <w:rFonts w:cstheme="minorHAnsi"/>
              </w:rPr>
              <w:t>21000.</w:t>
            </w: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B47D8E">
              <w:rPr>
                <w:rFonts w:cstheme="minorHAnsi"/>
              </w:rPr>
              <w:t>’exercice pour remplir</w:t>
            </w:r>
            <w:r w:rsidRPr="00603EB8">
              <w:rPr>
                <w:rFonts w:cstheme="minorHAnsi"/>
              </w:rPr>
              <w:t xml:space="preserve"> la grille d’autoévaluation </w:t>
            </w:r>
            <w:r>
              <w:rPr>
                <w:rFonts w:cstheme="minorHAnsi"/>
              </w:rPr>
              <w:t>devrait être</w:t>
            </w:r>
            <w:r w:rsidRPr="00603EB8">
              <w:rPr>
                <w:rFonts w:cstheme="minorHAnsi"/>
              </w:rPr>
              <w:t xml:space="preserve"> réalisé dans le cadre de la rencontre de l’étape 1, à la suite de la</w:t>
            </w:r>
            <w:r w:rsidR="00B47D8E">
              <w:rPr>
                <w:rFonts w:cstheme="minorHAnsi"/>
              </w:rPr>
              <w:t xml:space="preserve"> présentation de la Méthode BNQ </w:t>
            </w:r>
            <w:r w:rsidRPr="00603EB8">
              <w:rPr>
                <w:rFonts w:cstheme="minorHAnsi"/>
              </w:rPr>
              <w:t>21000.</w:t>
            </w: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  <w:r w:rsidRPr="00603EB8">
              <w:rPr>
                <w:rFonts w:cstheme="minorHAnsi"/>
              </w:rPr>
              <w:t>La grille d’autoévaluation permet l’apprentissage de connaissances sur le déve</w:t>
            </w:r>
            <w:r w:rsidR="00B47D8E">
              <w:rPr>
                <w:rFonts w:cstheme="minorHAnsi"/>
              </w:rPr>
              <w:t>loppement durable, notamment</w:t>
            </w:r>
            <w:r w:rsidRPr="00603EB8">
              <w:rPr>
                <w:rFonts w:cstheme="minorHAnsi"/>
              </w:rPr>
              <w:t xml:space="preserve"> </w:t>
            </w:r>
            <w:r w:rsidR="00B47D8E">
              <w:rPr>
                <w:rFonts w:cstheme="minorHAnsi"/>
              </w:rPr>
              <w:t xml:space="preserve">le fait que </w:t>
            </w:r>
            <w:r w:rsidRPr="00603EB8">
              <w:rPr>
                <w:rFonts w:cstheme="minorHAnsi"/>
              </w:rPr>
              <w:t xml:space="preserve">le développement durable ne se résume pas qu’au traitement des aspects environnementaux. Il s’agit d’un exercice de mise à niveau où les </w:t>
            </w:r>
            <w:r w:rsidR="00563062">
              <w:rPr>
                <w:rFonts w:cstheme="minorHAnsi"/>
              </w:rPr>
              <w:t>joueurs</w:t>
            </w:r>
            <w:r w:rsidRPr="00603EB8">
              <w:rPr>
                <w:rFonts w:cstheme="minorHAnsi"/>
              </w:rPr>
              <w:t xml:space="preserve"> clés, souvent les gestionnaires de l’organisation,</w:t>
            </w:r>
            <w:r w:rsidR="00B47D8E">
              <w:rPr>
                <w:rFonts w:cstheme="minorHAnsi"/>
              </w:rPr>
              <w:t xml:space="preserve"> qui sont</w:t>
            </w:r>
            <w:r w:rsidRPr="00603EB8">
              <w:rPr>
                <w:rFonts w:cstheme="minorHAnsi"/>
              </w:rPr>
              <w:t xml:space="preserve"> formés selon les fonctions de l’organisation</w:t>
            </w:r>
            <w:r w:rsidR="00B47D8E">
              <w:rPr>
                <w:rFonts w:cstheme="minorHAnsi"/>
              </w:rPr>
              <w:t xml:space="preserve"> (comptabilité, markéting, R-D, production, etc.)</w:t>
            </w:r>
            <w:r w:rsidRPr="00603EB8">
              <w:rPr>
                <w:rFonts w:cstheme="minorHAnsi"/>
              </w:rPr>
              <w:t xml:space="preserve"> ne sont pas nécessairement informés des </w:t>
            </w:r>
            <w:r>
              <w:rPr>
                <w:rFonts w:cstheme="minorHAnsi"/>
              </w:rPr>
              <w:t>enjeux</w:t>
            </w:r>
            <w:r w:rsidRPr="00603EB8">
              <w:rPr>
                <w:rFonts w:cstheme="minorHAnsi"/>
              </w:rPr>
              <w:t xml:space="preserve"> des autres départements de leur propre organisation. Ex</w:t>
            </w:r>
            <w:r w:rsidR="0016537E">
              <w:rPr>
                <w:rFonts w:cstheme="minorHAnsi"/>
              </w:rPr>
              <w:t>ercice de consensus, la grille d’autoévaluation</w:t>
            </w:r>
            <w:r w:rsidRPr="00603EB8">
              <w:rPr>
                <w:rFonts w:cstheme="minorHAnsi"/>
              </w:rPr>
              <w:t xml:space="preserve"> permet un engagement unifié de la direction</w:t>
            </w:r>
            <w:r w:rsidR="00563062">
              <w:rPr>
                <w:rFonts w:cstheme="minorHAnsi"/>
              </w:rPr>
              <w:t xml:space="preserve"> et d’autres ressources, le cas échéant</w:t>
            </w:r>
            <w:r w:rsidRPr="00603EB8">
              <w:rPr>
                <w:rFonts w:cstheme="minorHAnsi"/>
              </w:rPr>
              <w:t xml:space="preserve">. </w:t>
            </w: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</w:p>
          <w:p w:rsidR="007F435F" w:rsidRPr="00603EB8" w:rsidRDefault="0016537E" w:rsidP="007F435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Concernant</w:t>
            </w:r>
            <w:r w:rsidR="007F435F" w:rsidRPr="00603EB8">
              <w:rPr>
                <w:rFonts w:cstheme="minorHAnsi"/>
              </w:rPr>
              <w:t xml:space="preserve"> les </w:t>
            </w:r>
            <w:r w:rsidR="002453A8">
              <w:rPr>
                <w:rFonts w:cstheme="minorHAnsi"/>
              </w:rPr>
              <w:t>personnes participant</w:t>
            </w:r>
            <w:r w:rsidR="007F435F" w:rsidRPr="00603EB8">
              <w:rPr>
                <w:rFonts w:cstheme="minorHAnsi"/>
              </w:rPr>
              <w:t xml:space="preserve"> à l’exercice, la grille produit les effets suivants :</w:t>
            </w:r>
          </w:p>
          <w:p w:rsidR="007F435F" w:rsidRPr="00603EB8" w:rsidRDefault="007F435F" w:rsidP="007F435F">
            <w:pPr>
              <w:jc w:val="both"/>
              <w:rPr>
                <w:rFonts w:cstheme="minorHAnsi"/>
              </w:rPr>
            </w:pPr>
          </w:p>
          <w:p w:rsidR="007F435F" w:rsidRPr="00603EB8" w:rsidRDefault="007F435F" w:rsidP="007F435F">
            <w:pPr>
              <w:pStyle w:val="Paragraphedeliste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603EB8">
              <w:rPr>
                <w:rFonts w:asciiTheme="minorHAnsi" w:hAnsiTheme="minorHAnsi" w:cstheme="minorHAnsi"/>
              </w:rPr>
              <w:t>Elle est un puissant outil de formation puisqu’elle présente, définit, distingue et clarifie les quatre facettes du développement durable</w:t>
            </w:r>
            <w:r w:rsidR="002453A8">
              <w:rPr>
                <w:rFonts w:asciiTheme="minorHAnsi" w:hAnsiTheme="minorHAnsi" w:cstheme="minorHAnsi"/>
              </w:rPr>
              <w:t>, et ce,</w:t>
            </w:r>
            <w:r w:rsidRPr="00603EB8">
              <w:rPr>
                <w:rFonts w:asciiTheme="minorHAnsi" w:hAnsiTheme="minorHAnsi" w:cstheme="minorHAnsi"/>
              </w:rPr>
              <w:t xml:space="preserve"> dans le langage des organisations.</w:t>
            </w:r>
          </w:p>
          <w:p w:rsidR="007F435F" w:rsidRPr="00603EB8" w:rsidRDefault="007F435F" w:rsidP="007F435F">
            <w:pPr>
              <w:pStyle w:val="Paragraphedeliste1"/>
              <w:ind w:left="1065"/>
              <w:jc w:val="both"/>
              <w:rPr>
                <w:rFonts w:asciiTheme="minorHAnsi" w:hAnsiTheme="minorHAnsi" w:cstheme="minorHAnsi"/>
              </w:rPr>
            </w:pPr>
          </w:p>
          <w:p w:rsidR="007F435F" w:rsidRPr="00603EB8" w:rsidRDefault="007F435F" w:rsidP="007F435F">
            <w:pPr>
              <w:pStyle w:val="Paragraphedeliste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603EB8">
              <w:rPr>
                <w:rFonts w:asciiTheme="minorHAnsi" w:hAnsiTheme="minorHAnsi" w:cstheme="minorHAnsi"/>
              </w:rPr>
              <w:t>Elle force une vision commune entre les membres de la direction</w:t>
            </w:r>
            <w:r w:rsidR="002453A8">
              <w:rPr>
                <w:rFonts w:asciiTheme="minorHAnsi" w:hAnsiTheme="minorHAnsi" w:cstheme="minorHAnsi"/>
              </w:rPr>
              <w:t>,</w:t>
            </w:r>
            <w:r w:rsidRPr="00603EB8">
              <w:rPr>
                <w:rFonts w:asciiTheme="minorHAnsi" w:hAnsiTheme="minorHAnsi" w:cstheme="minorHAnsi"/>
              </w:rPr>
              <w:t xml:space="preserve"> qui souvent, </w:t>
            </w:r>
            <w:r>
              <w:rPr>
                <w:rFonts w:asciiTheme="minorHAnsi" w:hAnsiTheme="minorHAnsi" w:cstheme="minorHAnsi"/>
              </w:rPr>
              <w:t>à</w:t>
            </w:r>
            <w:r w:rsidR="0016537E">
              <w:rPr>
                <w:rFonts w:asciiTheme="minorHAnsi" w:hAnsiTheme="minorHAnsi" w:cstheme="minorHAnsi"/>
              </w:rPr>
              <w:t xml:space="preserve"> cause</w:t>
            </w:r>
            <w:r w:rsidRPr="00603EB8">
              <w:rPr>
                <w:rFonts w:asciiTheme="minorHAnsi" w:hAnsiTheme="minorHAnsi" w:cstheme="minorHAnsi"/>
              </w:rPr>
              <w:t xml:space="preserve"> </w:t>
            </w:r>
            <w:r w:rsidR="0016537E">
              <w:rPr>
                <w:rFonts w:asciiTheme="minorHAnsi" w:hAnsiTheme="minorHAnsi" w:cstheme="minorHAnsi"/>
              </w:rPr>
              <w:t xml:space="preserve">de </w:t>
            </w:r>
            <w:r w:rsidRPr="00603EB8">
              <w:rPr>
                <w:rFonts w:asciiTheme="minorHAnsi" w:hAnsiTheme="minorHAnsi" w:cstheme="minorHAnsi"/>
              </w:rPr>
              <w:t>l’effet de silo délimitant les fonctions de l’organis</w:t>
            </w:r>
            <w:r w:rsidR="0016537E">
              <w:rPr>
                <w:rFonts w:asciiTheme="minorHAnsi" w:hAnsiTheme="minorHAnsi" w:cstheme="minorHAnsi"/>
              </w:rPr>
              <w:t>ation (production, comptabilité, etc.</w:t>
            </w:r>
            <w:r w:rsidRPr="00603EB8">
              <w:rPr>
                <w:rFonts w:asciiTheme="minorHAnsi" w:hAnsiTheme="minorHAnsi" w:cstheme="minorHAnsi"/>
              </w:rPr>
              <w:t>), n’ont pas une idée claire de ce qui se passe dans les autres départements.</w:t>
            </w:r>
          </w:p>
          <w:p w:rsidR="007F435F" w:rsidRPr="00603EB8" w:rsidRDefault="007F435F" w:rsidP="007F435F">
            <w:pPr>
              <w:pStyle w:val="Paragraphedeliste1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7F435F" w:rsidRPr="00AC5856" w:rsidRDefault="007F435F" w:rsidP="007F435F">
            <w:pPr>
              <w:pStyle w:val="Paragraphedeliste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603EB8">
              <w:rPr>
                <w:rFonts w:asciiTheme="minorHAnsi" w:hAnsiTheme="minorHAnsi" w:cstheme="minorHAnsi"/>
              </w:rPr>
              <w:t>Elle dresse un premier portrait (ou état des lieux) crédible de l’avancement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03EB8">
              <w:rPr>
                <w:rFonts w:asciiTheme="minorHAnsi" w:hAnsiTheme="minorHAnsi" w:cstheme="minorHAnsi"/>
              </w:rPr>
              <w:t>du développement durable</w:t>
            </w:r>
            <w:r w:rsidRPr="00AC5856">
              <w:rPr>
                <w:rFonts w:asciiTheme="minorHAnsi" w:hAnsiTheme="minorHAnsi" w:cstheme="minorHAnsi"/>
              </w:rPr>
              <w:t xml:space="preserve"> dans l’organisation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7F435F" w:rsidRPr="00AC5856" w:rsidRDefault="007F435F" w:rsidP="007F435F">
            <w:pPr>
              <w:pStyle w:val="Paragraphedeliste1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7F435F" w:rsidRPr="00AC5856" w:rsidRDefault="007F435F" w:rsidP="007F435F">
            <w:pPr>
              <w:pStyle w:val="Paragraphedeliste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AC5856">
              <w:rPr>
                <w:rFonts w:asciiTheme="minorHAnsi" w:hAnsiTheme="minorHAnsi" w:cstheme="minorHAnsi"/>
              </w:rPr>
              <w:t>Elle illustre en un coup d’œ</w:t>
            </w:r>
            <w:r w:rsidR="00563062">
              <w:rPr>
                <w:rFonts w:asciiTheme="minorHAnsi" w:hAnsiTheme="minorHAnsi" w:cstheme="minorHAnsi"/>
              </w:rPr>
              <w:t>il là où l’organisation pourrait progresser.</w:t>
            </w:r>
          </w:p>
          <w:p w:rsidR="007F435F" w:rsidRPr="00AC5856" w:rsidRDefault="007F435F" w:rsidP="007F435F">
            <w:pPr>
              <w:pStyle w:val="Paragraphedeliste1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7F435F" w:rsidRPr="00AC5856" w:rsidRDefault="007F435F" w:rsidP="007F435F">
            <w:pPr>
              <w:pStyle w:val="Paragraphedeliste1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AC5856">
              <w:rPr>
                <w:rFonts w:asciiTheme="minorHAnsi" w:hAnsiTheme="minorHAnsi" w:cstheme="minorHAnsi"/>
              </w:rPr>
              <w:t xml:space="preserve">Elle mobilise la direction en brisant l’effet de silo : le développement durable est l’affaire de tout le monde et toutes les </w:t>
            </w:r>
            <w:r>
              <w:rPr>
                <w:rFonts w:asciiTheme="minorHAnsi" w:hAnsiTheme="minorHAnsi" w:cstheme="minorHAnsi"/>
              </w:rPr>
              <w:t>fonctions</w:t>
            </w:r>
            <w:r w:rsidRPr="00AC5856">
              <w:rPr>
                <w:rFonts w:asciiTheme="minorHAnsi" w:hAnsiTheme="minorHAnsi" w:cstheme="minorHAnsi"/>
              </w:rPr>
              <w:t xml:space="preserve"> doivent </w:t>
            </w:r>
            <w:r>
              <w:rPr>
                <w:rFonts w:asciiTheme="minorHAnsi" w:hAnsiTheme="minorHAnsi" w:cstheme="minorHAnsi"/>
              </w:rPr>
              <w:t>participer.</w:t>
            </w:r>
          </w:p>
          <w:p w:rsidR="007F435F" w:rsidRPr="00AC5856" w:rsidRDefault="007F435F" w:rsidP="007F435F">
            <w:pPr>
              <w:pStyle w:val="Paragraphedeliste1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58073A" w:rsidRPr="00D67ADA" w:rsidRDefault="00563062" w:rsidP="007F435F">
            <w:pPr>
              <w:spacing w:after="20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Pour réaliser l’exercice, i</w:t>
            </w:r>
            <w:r w:rsidR="0058073A" w:rsidRPr="00D67ADA">
              <w:rPr>
                <w:rFonts w:cstheme="minorHAnsi"/>
              </w:rPr>
              <w:t xml:space="preserve">l est possible d’utiliser la grille </w:t>
            </w:r>
            <w:r w:rsidR="00B05A2D" w:rsidRPr="00D67ADA">
              <w:rPr>
                <w:rFonts w:cstheme="minorHAnsi"/>
              </w:rPr>
              <w:t xml:space="preserve">d’autoévaluation </w:t>
            </w:r>
            <w:r w:rsidR="0058073A" w:rsidRPr="00D67ADA">
              <w:rPr>
                <w:rFonts w:cstheme="minorHAnsi"/>
              </w:rPr>
              <w:t>de deux</w:t>
            </w:r>
            <w:r w:rsidR="00930221" w:rsidRPr="00D67ADA">
              <w:rPr>
                <w:rFonts w:cstheme="minorHAnsi"/>
              </w:rPr>
              <w:t xml:space="preserve"> (2) manières :</w:t>
            </w:r>
          </w:p>
          <w:p w:rsidR="00987DA0" w:rsidRDefault="0058073A" w:rsidP="003626B5">
            <w:pPr>
              <w:pStyle w:val="Paragraphedeliste"/>
              <w:numPr>
                <w:ilvl w:val="0"/>
                <w:numId w:val="9"/>
              </w:numPr>
              <w:ind w:left="1080"/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>Briser la glace et passer la gri</w:t>
            </w:r>
            <w:r w:rsidR="00EC3C9E" w:rsidRPr="00D67ADA">
              <w:rPr>
                <w:rFonts w:cstheme="minorHAnsi"/>
              </w:rPr>
              <w:t xml:space="preserve">lle en revue avec les participants </w:t>
            </w:r>
            <w:r w:rsidR="00C1473C" w:rsidRPr="00D67ADA">
              <w:rPr>
                <w:rFonts w:cstheme="minorHAnsi"/>
              </w:rPr>
              <w:t xml:space="preserve">lors de </w:t>
            </w:r>
            <w:r w:rsidR="00EC3C9E" w:rsidRPr="00D67ADA">
              <w:rPr>
                <w:rFonts w:cstheme="minorHAnsi"/>
              </w:rPr>
              <w:t>la rencontre</w:t>
            </w:r>
            <w:r w:rsidR="00881584" w:rsidRPr="00D67ADA">
              <w:rPr>
                <w:rFonts w:cstheme="minorHAnsi"/>
              </w:rPr>
              <w:t>.</w:t>
            </w:r>
          </w:p>
          <w:p w:rsidR="003626B5" w:rsidRDefault="003626B5" w:rsidP="003626B5">
            <w:pPr>
              <w:pStyle w:val="Paragraphedeliste"/>
              <w:ind w:left="1080"/>
              <w:jc w:val="both"/>
              <w:rPr>
                <w:rFonts w:cstheme="minorHAnsi"/>
              </w:rPr>
            </w:pPr>
          </w:p>
          <w:p w:rsidR="0058073A" w:rsidRPr="00D67ADA" w:rsidRDefault="00815373" w:rsidP="003626B5">
            <w:pPr>
              <w:pStyle w:val="Paragraphedeliste"/>
              <w:numPr>
                <w:ilvl w:val="0"/>
                <w:numId w:val="9"/>
              </w:numPr>
              <w:spacing w:before="240"/>
              <w:ind w:left="108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Distribuer</w:t>
            </w:r>
            <w:r w:rsidR="00987DA0" w:rsidRPr="00D67ADA">
              <w:rPr>
                <w:rFonts w:cstheme="minorHAnsi"/>
              </w:rPr>
              <w:t xml:space="preserve"> la grille aux participants, </w:t>
            </w:r>
            <w:r w:rsidR="0016537E">
              <w:rPr>
                <w:rFonts w:cstheme="minorHAnsi"/>
              </w:rPr>
              <w:t xml:space="preserve">les inviter à la </w:t>
            </w:r>
            <w:r w:rsidR="0058073A" w:rsidRPr="00D67ADA">
              <w:rPr>
                <w:rFonts w:cstheme="minorHAnsi"/>
              </w:rPr>
              <w:t>r</w:t>
            </w:r>
            <w:r w:rsidR="0016537E">
              <w:rPr>
                <w:rFonts w:cstheme="minorHAnsi"/>
              </w:rPr>
              <w:t>emplir</w:t>
            </w:r>
            <w:r w:rsidR="0058073A" w:rsidRPr="00D67ADA">
              <w:rPr>
                <w:rFonts w:cstheme="minorHAnsi"/>
              </w:rPr>
              <w:t xml:space="preserve"> </w:t>
            </w:r>
            <w:r w:rsidR="00987DA0" w:rsidRPr="00D67ADA">
              <w:rPr>
                <w:rFonts w:cstheme="minorHAnsi"/>
              </w:rPr>
              <w:t>individuellement</w:t>
            </w:r>
            <w:r w:rsidR="00563062">
              <w:rPr>
                <w:rFonts w:cstheme="minorHAnsi"/>
              </w:rPr>
              <w:t xml:space="preserve"> avant la rencontre</w:t>
            </w:r>
            <w:r w:rsidR="0058073A" w:rsidRPr="00D67ADA">
              <w:rPr>
                <w:rFonts w:cstheme="minorHAnsi"/>
              </w:rPr>
              <w:t xml:space="preserve"> et</w:t>
            </w:r>
            <w:r w:rsidR="0016537E">
              <w:rPr>
                <w:rFonts w:cstheme="minorHAnsi"/>
              </w:rPr>
              <w:t>,</w:t>
            </w:r>
            <w:r w:rsidR="0058073A" w:rsidRPr="00D67ADA">
              <w:rPr>
                <w:rFonts w:cstheme="minorHAnsi"/>
              </w:rPr>
              <w:t xml:space="preserve"> </w:t>
            </w:r>
            <w:r w:rsidR="00987DA0" w:rsidRPr="00D67ADA">
              <w:rPr>
                <w:rFonts w:cstheme="minorHAnsi"/>
              </w:rPr>
              <w:t xml:space="preserve">lors de la rencontre, </w:t>
            </w:r>
            <w:r w:rsidR="0058073A" w:rsidRPr="00D67ADA">
              <w:rPr>
                <w:rFonts w:cstheme="minorHAnsi"/>
              </w:rPr>
              <w:t xml:space="preserve">rechercher le consensus </w:t>
            </w:r>
            <w:r w:rsidR="00987DA0" w:rsidRPr="00D67ADA">
              <w:rPr>
                <w:rFonts w:cstheme="minorHAnsi"/>
              </w:rPr>
              <w:t>du</w:t>
            </w:r>
            <w:r w:rsidR="0016537E">
              <w:rPr>
                <w:rFonts w:cstheme="minorHAnsi"/>
              </w:rPr>
              <w:t xml:space="preserve"> groupe.</w:t>
            </w:r>
          </w:p>
          <w:p w:rsidR="0058073A" w:rsidRPr="00D67ADA" w:rsidRDefault="0058073A" w:rsidP="00D67ADA">
            <w:pPr>
              <w:jc w:val="both"/>
              <w:rPr>
                <w:rFonts w:cstheme="minorHAnsi"/>
              </w:rPr>
            </w:pPr>
          </w:p>
          <w:p w:rsidR="00BD4E61" w:rsidRDefault="00BD4E61" w:rsidP="00D67ADA">
            <w:pPr>
              <w:jc w:val="both"/>
              <w:rPr>
                <w:rFonts w:cstheme="minorHAnsi"/>
              </w:rPr>
            </w:pPr>
          </w:p>
          <w:p w:rsidR="00317C49" w:rsidRPr="00D67ADA" w:rsidRDefault="00B05A2D" w:rsidP="00D67ADA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 xml:space="preserve">Le résultat final de la grille d’autoévaluation présente une ventilation des niveaux de maturité des pratiques de gestion </w:t>
            </w:r>
            <w:r w:rsidR="007F435F">
              <w:rPr>
                <w:rFonts w:cstheme="minorHAnsi"/>
              </w:rPr>
              <w:t xml:space="preserve">du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</w:t>
            </w:r>
            <w:r w:rsidR="00563062">
              <w:rPr>
                <w:rFonts w:cstheme="minorHAnsi"/>
              </w:rPr>
              <w:t xml:space="preserve">au sein </w:t>
            </w:r>
            <w:r w:rsidRPr="00D67ADA">
              <w:rPr>
                <w:rFonts w:cstheme="minorHAnsi"/>
              </w:rPr>
              <w:t xml:space="preserve">de l’organisation. </w:t>
            </w:r>
          </w:p>
          <w:p w:rsidR="00B05A2D" w:rsidRPr="00D67ADA" w:rsidRDefault="00B05A2D" w:rsidP="00D67ADA">
            <w:pPr>
              <w:jc w:val="both"/>
              <w:rPr>
                <w:rFonts w:cstheme="minorHAnsi"/>
              </w:rPr>
            </w:pPr>
          </w:p>
          <w:p w:rsidR="00EC3C9E" w:rsidRPr="00D67ADA" w:rsidRDefault="00EC3C9E" w:rsidP="00D67ADA">
            <w:pPr>
              <w:pStyle w:val="Titre1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ADA">
              <w:rPr>
                <w:rFonts w:asciiTheme="minorHAnsi" w:hAnsiTheme="minorHAnsi" w:cstheme="minorHAnsi"/>
                <w:sz w:val="22"/>
                <w:szCs w:val="22"/>
              </w:rPr>
              <w:t>Évaluez votre organisation</w:t>
            </w:r>
          </w:p>
          <w:p w:rsidR="00EC3C9E" w:rsidRPr="00D67ADA" w:rsidRDefault="00EC3C9E" w:rsidP="00D67ADA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 xml:space="preserve">La </w:t>
            </w:r>
            <w:r w:rsidR="00D91696" w:rsidRPr="00D67ADA">
              <w:rPr>
                <w:rFonts w:cstheme="minorHAnsi"/>
              </w:rPr>
              <w:t>figure </w:t>
            </w:r>
            <w:r w:rsidRPr="00D67ADA">
              <w:rPr>
                <w:rFonts w:cstheme="minorHAnsi"/>
              </w:rPr>
              <w:t>1 présente un extrait d</w:t>
            </w:r>
            <w:r w:rsidR="00AC5856" w:rsidRPr="00D67ADA">
              <w:rPr>
                <w:rFonts w:cstheme="minorHAnsi"/>
              </w:rPr>
              <w:t xml:space="preserve">e </w:t>
            </w:r>
            <w:r w:rsidR="00987DA0" w:rsidRPr="00D67ADA">
              <w:rPr>
                <w:rFonts w:cstheme="minorHAnsi"/>
              </w:rPr>
              <w:t xml:space="preserve">la </w:t>
            </w:r>
            <w:r w:rsidRPr="00D67ADA">
              <w:rPr>
                <w:rFonts w:cstheme="minorHAnsi"/>
              </w:rPr>
              <w:t>grille d’</w:t>
            </w:r>
            <w:r w:rsidR="00987DA0" w:rsidRPr="00D67ADA">
              <w:rPr>
                <w:rFonts w:cstheme="minorHAnsi"/>
              </w:rPr>
              <w:t>autoévaluation</w:t>
            </w:r>
            <w:r w:rsidRPr="00D67ADA">
              <w:rPr>
                <w:rFonts w:cstheme="minorHAnsi"/>
              </w:rPr>
              <w:t>. Pour chacun des 21 enjeux proposés dans la Méthode BNQ</w:t>
            </w:r>
            <w:r w:rsidR="00B2376C" w:rsidRPr="00D67ADA">
              <w:rPr>
                <w:rFonts w:cstheme="minorHAnsi"/>
              </w:rPr>
              <w:t> </w:t>
            </w:r>
            <w:r w:rsidRPr="00D67ADA">
              <w:rPr>
                <w:rFonts w:cstheme="minorHAnsi"/>
              </w:rPr>
              <w:t xml:space="preserve">21000, les </w:t>
            </w:r>
            <w:r w:rsidR="00987DA0" w:rsidRPr="00D67ADA">
              <w:rPr>
                <w:rFonts w:cstheme="minorHAnsi"/>
              </w:rPr>
              <w:t>participants</w:t>
            </w:r>
            <w:r w:rsidRPr="00D67ADA">
              <w:rPr>
                <w:rFonts w:cstheme="minorHAnsi"/>
              </w:rPr>
              <w:t xml:space="preserve"> à l’exercice n’ont qu’à encercler le niveau qui s’apparente le mieux à ce qui se passe dans </w:t>
            </w:r>
            <w:r w:rsidR="00AC5856" w:rsidRPr="00D67ADA">
              <w:rPr>
                <w:rFonts w:cstheme="minorHAnsi"/>
              </w:rPr>
              <w:t>l’</w:t>
            </w:r>
            <w:r w:rsidRPr="00D67ADA">
              <w:rPr>
                <w:rFonts w:cstheme="minorHAnsi"/>
              </w:rPr>
              <w:t xml:space="preserve">organisation. </w:t>
            </w:r>
            <w:r w:rsidR="007F435F">
              <w:rPr>
                <w:rFonts w:cstheme="minorHAnsi"/>
              </w:rPr>
              <w:t xml:space="preserve">Une </w:t>
            </w:r>
            <w:r w:rsidR="00AC5856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peut</w:t>
            </w:r>
            <w:r w:rsidR="0016537E">
              <w:rPr>
                <w:rFonts w:cstheme="minorHAnsi"/>
              </w:rPr>
              <w:t xml:space="preserve"> se situer entre deux niveaux.</w:t>
            </w:r>
          </w:p>
          <w:p w:rsidR="00EC3C9E" w:rsidRPr="00D67ADA" w:rsidRDefault="00EC3C9E" w:rsidP="00D67ADA">
            <w:pPr>
              <w:jc w:val="both"/>
              <w:rPr>
                <w:rFonts w:cstheme="minorHAnsi"/>
              </w:rPr>
            </w:pPr>
          </w:p>
          <w:p w:rsidR="00EC3C9E" w:rsidRPr="00D67ADA" w:rsidRDefault="00EC3C9E" w:rsidP="00D67ADA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>U</w:t>
            </w:r>
            <w:r w:rsidR="0016537E">
              <w:rPr>
                <w:rFonts w:cstheme="minorHAnsi"/>
              </w:rPr>
              <w:t>ne fois l’autoévaluation termin</w:t>
            </w:r>
            <w:r w:rsidRPr="00D67ADA">
              <w:rPr>
                <w:rFonts w:cstheme="minorHAnsi"/>
              </w:rPr>
              <w:t>ée,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dispose d’un premier bilan, </w:t>
            </w:r>
            <w:r w:rsidR="00B2376C" w:rsidRPr="00D67ADA">
              <w:rPr>
                <w:rFonts w:cstheme="minorHAnsi"/>
              </w:rPr>
              <w:t>d’</w:t>
            </w:r>
            <w:r w:rsidR="00AC5856" w:rsidRPr="00D67ADA">
              <w:rPr>
                <w:rFonts w:cstheme="minorHAnsi"/>
              </w:rPr>
              <w:t xml:space="preserve">un état des lieux, de la prise en compte des principes de </w:t>
            </w:r>
            <w:r w:rsidR="000C54EF" w:rsidRPr="00D67ADA">
              <w:rPr>
                <w:rFonts w:cstheme="minorHAnsi"/>
              </w:rPr>
              <w:t>développement durable</w:t>
            </w:r>
            <w:r w:rsidR="007F435F">
              <w:rPr>
                <w:rFonts w:cstheme="minorHAnsi"/>
              </w:rPr>
              <w:t xml:space="preserve"> dans sa gestion</w:t>
            </w:r>
            <w:r w:rsidRPr="00D67ADA">
              <w:rPr>
                <w:rFonts w:cstheme="minorHAnsi"/>
              </w:rPr>
              <w:t>. L’exercice permet aussi aux dirigeants d’étudier les comportements rapportés dans les cases correspondant aux niveaux plus avancés, ce qui</w:t>
            </w:r>
            <w:r w:rsidR="00563062">
              <w:rPr>
                <w:rFonts w:cstheme="minorHAnsi"/>
              </w:rPr>
              <w:t xml:space="preserve"> pourra les orienter lorsque viendra le moment de réaliser les choix des actions pour permettre à l’organisation de progresser.</w:t>
            </w:r>
          </w:p>
          <w:p w:rsidR="00EC3C9E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860388" wp14:editId="79427216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579120</wp:posOffset>
                      </wp:positionV>
                      <wp:extent cx="1308100" cy="1085850"/>
                      <wp:effectExtent l="0" t="0" r="25400" b="19050"/>
                      <wp:wrapNone/>
                      <wp:docPr id="68620" name="Ellipse 68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8100" cy="10858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68620" o:spid="_x0000_s1026" style="position:absolute;margin-left:201.1pt;margin-top:45.6pt;width:103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" filled="f" strokeweight="2pt">
                      <v:stroke dashstyle="dash"/>
                    </v:oval>
                  </w:pict>
                </mc:Fallback>
              </mc:AlternateContent>
            </w:r>
            <w:r w:rsidRPr="00D67ADA">
              <w:rPr>
                <w:rFonts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1FB599" wp14:editId="2C866EF2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2268855</wp:posOffset>
                      </wp:positionV>
                      <wp:extent cx="1308100" cy="1085850"/>
                      <wp:effectExtent l="0" t="0" r="25400" b="19050"/>
                      <wp:wrapNone/>
                      <wp:docPr id="68619" name="Ellipse 68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8100" cy="10858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68619" o:spid="_x0000_s1026" style="position:absolute;margin-left:114.9pt;margin-top:178.65pt;width:103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" filled="f" strokeweight="2pt">
                      <v:stroke dashstyle="dash"/>
                    </v:oval>
                  </w:pict>
                </mc:Fallback>
              </mc:AlternateContent>
            </w:r>
            <w:r w:rsidRPr="00D67ADA">
              <w:rPr>
                <w:rFonts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5B14E1" wp14:editId="0D3CC2D9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3633470</wp:posOffset>
                      </wp:positionV>
                      <wp:extent cx="1308100" cy="1085850"/>
                      <wp:effectExtent l="0" t="0" r="25400" b="19050"/>
                      <wp:wrapNone/>
                      <wp:docPr id="68618" name="Ellipse 68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8100" cy="10858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68618" o:spid="_x0000_s1026" style="position:absolute;margin-left:114.9pt;margin-top:286.1pt;width:103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" filled="f" strokeweight="2pt">
                      <v:stroke dashstyle="dash"/>
                    </v:oval>
                  </w:pict>
                </mc:Fallback>
              </mc:AlternateContent>
            </w:r>
            <w:r w:rsidRPr="00D67ADA">
              <w:rPr>
                <w:rFonts w:cstheme="minorHAnsi"/>
                <w:noProof/>
                <w:lang w:eastAsia="fr-CA"/>
              </w:rPr>
              <w:drawing>
                <wp:inline distT="0" distB="0" distL="0" distR="0" wp14:anchorId="6F0BC0C4" wp14:editId="30EF196A">
                  <wp:extent cx="5742305" cy="4989195"/>
                  <wp:effectExtent l="0" t="0" r="0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8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2305" cy="498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6310" w:rsidRPr="00D67ADA" w:rsidRDefault="00136310" w:rsidP="002A32D0">
            <w:pPr>
              <w:pStyle w:val="Titre1"/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Toc322013624"/>
          </w:p>
          <w:p w:rsidR="00187383" w:rsidRDefault="00187383" w:rsidP="002A32D0">
            <w:pPr>
              <w:pStyle w:val="Titre1"/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7383" w:rsidRDefault="00187383" w:rsidP="002A32D0">
            <w:pPr>
              <w:pStyle w:val="Titre1"/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3C9E" w:rsidRPr="00D67ADA" w:rsidRDefault="002A32D0" w:rsidP="002A32D0">
            <w:pPr>
              <w:pStyle w:val="Titre1"/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ADA">
              <w:rPr>
                <w:rFonts w:asciiTheme="minorHAnsi" w:hAnsiTheme="minorHAnsi" w:cstheme="minorHAnsi"/>
                <w:sz w:val="22"/>
                <w:szCs w:val="22"/>
              </w:rPr>
              <w:t>Explication</w:t>
            </w:r>
            <w:r w:rsidR="00EC3C9E" w:rsidRPr="00D67ADA">
              <w:rPr>
                <w:rFonts w:asciiTheme="minorHAnsi" w:hAnsiTheme="minorHAnsi" w:cstheme="minorHAnsi"/>
                <w:sz w:val="22"/>
                <w:szCs w:val="22"/>
              </w:rPr>
              <w:t xml:space="preserve"> des niveaux</w:t>
            </w:r>
            <w:bookmarkEnd w:id="1"/>
          </w:p>
          <w:p w:rsidR="00136310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 xml:space="preserve">Voici brièvement </w:t>
            </w:r>
            <w:r w:rsidR="002A32D0" w:rsidRPr="00D67ADA">
              <w:rPr>
                <w:rFonts w:cstheme="minorHAnsi"/>
              </w:rPr>
              <w:t>l’explication</w:t>
            </w:r>
            <w:r w:rsidRPr="00D67ADA">
              <w:rPr>
                <w:rFonts w:cstheme="minorHAnsi"/>
              </w:rPr>
              <w:t xml:space="preserve"> des cinq niveaux </w:t>
            </w:r>
            <w:r w:rsidR="00400EED" w:rsidRPr="00D67ADA">
              <w:rPr>
                <w:rFonts w:cstheme="minorHAnsi"/>
              </w:rPr>
              <w:t xml:space="preserve">de la grille d’autoévaluation. Il est </w:t>
            </w:r>
            <w:r w:rsidR="00AC5856" w:rsidRPr="00D67ADA">
              <w:rPr>
                <w:rFonts w:cstheme="minorHAnsi"/>
              </w:rPr>
              <w:t>recommandé de ne pas divulguer ces explications aux</w:t>
            </w:r>
            <w:r w:rsidR="00C34781">
              <w:rPr>
                <w:rFonts w:cstheme="minorHAnsi"/>
              </w:rPr>
              <w:t xml:space="preserve"> participants avant la rencontre pour éviter d’être influencé</w:t>
            </w:r>
            <w:r w:rsidR="00AC5856" w:rsidRPr="00D67ADA">
              <w:rPr>
                <w:rFonts w:cstheme="minorHAnsi"/>
              </w:rPr>
              <w:t>.</w:t>
            </w:r>
            <w:r w:rsidR="00D41C13">
              <w:rPr>
                <w:rFonts w:cstheme="minorHAnsi"/>
              </w:rPr>
              <w:t xml:space="preserve">  Les définitions suivantes </w:t>
            </w:r>
            <w:r w:rsidR="005F7130">
              <w:rPr>
                <w:rFonts w:cstheme="minorHAnsi"/>
              </w:rPr>
              <w:t>sont abordés de façon très macro et relatives à une évaluation faite pour une entreprise, globalement</w:t>
            </w:r>
            <w:r w:rsidR="00D41C13">
              <w:rPr>
                <w:rFonts w:cstheme="minorHAnsi"/>
              </w:rPr>
              <w:t>.  Lors de l’</w:t>
            </w:r>
            <w:r w:rsidR="00356FBC">
              <w:rPr>
                <w:rFonts w:cstheme="minorHAnsi"/>
              </w:rPr>
              <w:t>exercice, ces définitions</w:t>
            </w:r>
            <w:r w:rsidR="00D41C13">
              <w:rPr>
                <w:rFonts w:cstheme="minorHAnsi"/>
              </w:rPr>
              <w:t xml:space="preserve"> devront être</w:t>
            </w:r>
            <w:r w:rsidR="005F7130">
              <w:rPr>
                <w:rFonts w:cstheme="minorHAnsi"/>
              </w:rPr>
              <w:t xml:space="preserve"> interprétées </w:t>
            </w:r>
            <w:r w:rsidR="00D41C13">
              <w:rPr>
                <w:rFonts w:cstheme="minorHAnsi"/>
              </w:rPr>
              <w:t xml:space="preserve">et adaptées </w:t>
            </w:r>
            <w:r w:rsidR="00BB42E4">
              <w:rPr>
                <w:rFonts w:cstheme="minorHAnsi"/>
              </w:rPr>
              <w:t xml:space="preserve">selon chacun des </w:t>
            </w:r>
            <w:r w:rsidR="00330C52">
              <w:rPr>
                <w:rFonts w:cstheme="minorHAnsi"/>
              </w:rPr>
              <w:t>enjeu</w:t>
            </w:r>
            <w:r w:rsidR="00BB42E4">
              <w:rPr>
                <w:rFonts w:cstheme="minorHAnsi"/>
              </w:rPr>
              <w:t>x</w:t>
            </w:r>
            <w:r w:rsidR="005F7130">
              <w:rPr>
                <w:rFonts w:cstheme="minorHAnsi"/>
              </w:rPr>
              <w:t xml:space="preserve"> en tenant compte du </w:t>
            </w:r>
            <w:r w:rsidR="00356FBC">
              <w:rPr>
                <w:rFonts w:cstheme="minorHAnsi"/>
              </w:rPr>
              <w:t>contexte dans lequel l’organisation évolue.</w:t>
            </w:r>
          </w:p>
          <w:p w:rsidR="00EA2C54" w:rsidRPr="00D67ADA" w:rsidRDefault="00EA2C54" w:rsidP="00EC3C9E">
            <w:pPr>
              <w:jc w:val="both"/>
              <w:rPr>
                <w:rFonts w:cstheme="minorHAnsi"/>
              </w:rPr>
            </w:pPr>
          </w:p>
          <w:p w:rsidR="00EC3C9E" w:rsidRPr="00D67ADA" w:rsidRDefault="00D91696" w:rsidP="00EC3C9E">
            <w:pPr>
              <w:jc w:val="both"/>
              <w:rPr>
                <w:rFonts w:cstheme="minorHAnsi"/>
                <w:b/>
              </w:rPr>
            </w:pPr>
            <w:r w:rsidRPr="00D67ADA">
              <w:rPr>
                <w:rFonts w:cstheme="minorHAnsi"/>
                <w:b/>
              </w:rPr>
              <w:t>Niveau </w:t>
            </w:r>
            <w:r w:rsidR="00EC3C9E" w:rsidRPr="00D67ADA">
              <w:rPr>
                <w:rFonts w:cstheme="minorHAnsi"/>
                <w:b/>
              </w:rPr>
              <w:t>1 : Peu ou pas concerné</w:t>
            </w:r>
          </w:p>
          <w:p w:rsidR="00EC3C9E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 xml:space="preserve">L’enjeu ne </w:t>
            </w:r>
            <w:r w:rsidR="00111A24">
              <w:rPr>
                <w:rFonts w:cstheme="minorHAnsi"/>
              </w:rPr>
              <w:t>s’applique pas à l’organisation ou encore l’entreprise</w:t>
            </w:r>
            <w:r w:rsidRPr="00D67ADA">
              <w:rPr>
                <w:rFonts w:cstheme="minorHAnsi"/>
              </w:rPr>
              <w:t xml:space="preserve"> </w:t>
            </w:r>
            <w:r w:rsidR="00D91696" w:rsidRPr="00D67ADA">
              <w:rPr>
                <w:rFonts w:cstheme="minorHAnsi"/>
              </w:rPr>
              <w:t>connait</w:t>
            </w:r>
            <w:r w:rsidRPr="00D67ADA">
              <w:rPr>
                <w:rFonts w:cstheme="minorHAnsi"/>
              </w:rPr>
              <w:t xml:space="preserve"> peu ou mal ses obligations. Elle ne se sent p</w:t>
            </w:r>
            <w:r w:rsidR="00AC5856" w:rsidRPr="00D67ADA">
              <w:rPr>
                <w:rFonts w:cstheme="minorHAnsi"/>
              </w:rPr>
              <w:t>as concernée par l’enjeu étudié</w:t>
            </w:r>
            <w:r w:rsidR="00B2376C" w:rsidRPr="00D67ADA">
              <w:rPr>
                <w:rFonts w:cstheme="minorHAnsi"/>
              </w:rPr>
              <w:t>,</w:t>
            </w:r>
            <w:r w:rsidRPr="00D67ADA">
              <w:rPr>
                <w:rFonts w:cstheme="minorHAnsi"/>
              </w:rPr>
              <w:t xml:space="preserve"> ce qui justifie le peu d’attention qu’elle y consacre. La gestion de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est totalement centrée sur la profitabilité économique</w:t>
            </w:r>
            <w:r w:rsidR="00AC5856" w:rsidRPr="00D67ADA">
              <w:rPr>
                <w:rFonts w:cstheme="minorHAnsi"/>
              </w:rPr>
              <w:t xml:space="preserve"> </w:t>
            </w:r>
            <w:r w:rsidRPr="00D67ADA">
              <w:rPr>
                <w:rFonts w:cstheme="minorHAnsi"/>
              </w:rPr>
              <w:t>sans égard aux conséquences sociales ou écologiques. Cette culture insouciante rend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candidat</w:t>
            </w:r>
            <w:r w:rsidR="000D2752">
              <w:rPr>
                <w:rFonts w:cstheme="minorHAnsi"/>
              </w:rPr>
              <w:t>e et vulnérable aux problèm</w:t>
            </w:r>
            <w:r w:rsidRPr="00D67ADA">
              <w:rPr>
                <w:rFonts w:cstheme="minorHAnsi"/>
              </w:rPr>
              <w:t>es sévères. Les responsabilités organisationnelles liées aux inactions sont rejetées en bloc. On adopte plutôt une attitude de blâme : on recherche des coupables lorsque des problèmes se présentent.</w:t>
            </w:r>
          </w:p>
          <w:p w:rsidR="00AC5856" w:rsidRPr="00D67ADA" w:rsidRDefault="00AC5856" w:rsidP="00EC3C9E">
            <w:pPr>
              <w:jc w:val="both"/>
              <w:rPr>
                <w:rFonts w:cstheme="minorHAnsi"/>
              </w:rPr>
            </w:pPr>
          </w:p>
          <w:p w:rsidR="00EC3C9E" w:rsidRPr="00D67ADA" w:rsidRDefault="00EC3C9E" w:rsidP="00EC3C9E">
            <w:pPr>
              <w:jc w:val="both"/>
              <w:rPr>
                <w:rFonts w:cstheme="minorHAnsi"/>
                <w:b/>
              </w:rPr>
            </w:pPr>
            <w:r w:rsidRPr="00D67ADA">
              <w:rPr>
                <w:rFonts w:cstheme="minorHAnsi"/>
                <w:b/>
              </w:rPr>
              <w:t>Niveau 2 : Réactif</w:t>
            </w:r>
          </w:p>
          <w:p w:rsidR="00EC3C9E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>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réactive s’inscrit dans une culture de contrôle des pertes. </w:t>
            </w:r>
            <w:r w:rsidR="00AC5856" w:rsidRPr="00D67ADA">
              <w:rPr>
                <w:rFonts w:cstheme="minorHAnsi"/>
              </w:rPr>
              <w:t>E</w:t>
            </w:r>
            <w:r w:rsidRPr="00D67ADA">
              <w:rPr>
                <w:rFonts w:cstheme="minorHAnsi"/>
              </w:rPr>
              <w:t xml:space="preserve">lle se positionne seulement de manière à éviter les infractions. À ce stade, elle perçoit le </w:t>
            </w:r>
            <w:r w:rsidR="000C54EF" w:rsidRPr="00D67ADA">
              <w:rPr>
                <w:rFonts w:cstheme="minorHAnsi"/>
              </w:rPr>
              <w:t>développement durable</w:t>
            </w:r>
            <w:r w:rsidR="00797D60">
              <w:rPr>
                <w:rFonts w:cstheme="minorHAnsi"/>
              </w:rPr>
              <w:t xml:space="preserve"> comme une dépense</w:t>
            </w:r>
            <w:r w:rsidRPr="00D67ADA">
              <w:rPr>
                <w:rFonts w:cstheme="minorHAnsi"/>
              </w:rPr>
              <w:t xml:space="preserve"> </w:t>
            </w:r>
            <w:r w:rsidR="00130DB2">
              <w:rPr>
                <w:rFonts w:cstheme="minorHAnsi"/>
              </w:rPr>
              <w:t>ou au mieux comme la possibilité de donn</w:t>
            </w:r>
            <w:r w:rsidRPr="00D67ADA">
              <w:rPr>
                <w:rFonts w:cstheme="minorHAnsi"/>
              </w:rPr>
              <w:t xml:space="preserve">er les factures aux clients (apparence de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, </w:t>
            </w:r>
            <w:r w:rsidR="00AC5856" w:rsidRPr="00D67ADA">
              <w:rPr>
                <w:rFonts w:cstheme="minorHAnsi"/>
              </w:rPr>
              <w:t>éco blanchiment</w:t>
            </w:r>
            <w:r w:rsidRPr="00D67ADA">
              <w:rPr>
                <w:rFonts w:cstheme="minorHAnsi"/>
              </w:rPr>
              <w:t>). La culture de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est dictée par une logique de résultats financiers à court terme. Le manque de communication et de suivi caractéristique d’une gestion réactive fait en sorte que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se laisse </w:t>
            </w:r>
            <w:r w:rsidR="00D91696" w:rsidRPr="00D67ADA">
              <w:rPr>
                <w:rFonts w:cstheme="minorHAnsi"/>
              </w:rPr>
              <w:t>entrainer</w:t>
            </w:r>
            <w:r w:rsidRPr="00D67ADA">
              <w:rPr>
                <w:rFonts w:cstheme="minorHAnsi"/>
              </w:rPr>
              <w:t xml:space="preserve"> vers d’autres dossiers urgents. Les responsabilités li</w:t>
            </w:r>
            <w:r w:rsidR="00797D60">
              <w:rPr>
                <w:rFonts w:cstheme="minorHAnsi"/>
              </w:rPr>
              <w:t>ées aux inactions sont rejetées</w:t>
            </w:r>
            <w:r w:rsidRPr="00D67ADA">
              <w:rPr>
                <w:rFonts w:cstheme="minorHAnsi"/>
              </w:rPr>
              <w:t xml:space="preserve"> et les parties prenantes ne sont entendues qu’en cas de crise. On éteint les feux. </w:t>
            </w:r>
          </w:p>
          <w:p w:rsidR="00AC5856" w:rsidRPr="00D67ADA" w:rsidRDefault="00AC5856" w:rsidP="00EC3C9E">
            <w:pPr>
              <w:jc w:val="both"/>
              <w:rPr>
                <w:rFonts w:cstheme="minorHAnsi"/>
              </w:rPr>
            </w:pPr>
          </w:p>
          <w:p w:rsidR="00EC3C9E" w:rsidRPr="00D67ADA" w:rsidRDefault="00D91696" w:rsidP="00EC3C9E">
            <w:pPr>
              <w:jc w:val="both"/>
              <w:rPr>
                <w:rFonts w:cstheme="minorHAnsi"/>
                <w:b/>
              </w:rPr>
            </w:pPr>
            <w:r w:rsidRPr="00D67ADA">
              <w:rPr>
                <w:rFonts w:cstheme="minorHAnsi"/>
                <w:b/>
              </w:rPr>
              <w:t>Niveau </w:t>
            </w:r>
            <w:r w:rsidR="00EC3C9E" w:rsidRPr="00D67ADA">
              <w:rPr>
                <w:rFonts w:cstheme="minorHAnsi"/>
                <w:b/>
              </w:rPr>
              <w:t>3 : Accommodant</w:t>
            </w:r>
          </w:p>
          <w:p w:rsidR="00EC3C9E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>La gestion de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progresse et évolue vers la formalisation de ses pratiques. Elle s’inscrit alors dans une culture de conformité. La légalité et la vérifiabilité sont de mise. Les lois sont respectées à la lettre, mais pas plus. Le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devient un poste budgétaire à contrôler. Les parties prenantes internes demeurent sous </w:t>
            </w:r>
            <w:r w:rsidR="00797D60">
              <w:rPr>
                <w:rFonts w:cstheme="minorHAnsi"/>
              </w:rPr>
              <w:t>surveillance</w:t>
            </w:r>
            <w:r w:rsidRPr="00D67ADA">
              <w:rPr>
                <w:rFonts w:cstheme="minorHAnsi"/>
              </w:rPr>
              <w:t>. Les responsabilités liées aux inactions sont</w:t>
            </w:r>
            <w:r w:rsidR="00797D60">
              <w:rPr>
                <w:rFonts w:cstheme="minorHAnsi"/>
              </w:rPr>
              <w:t xml:space="preserve"> admises, selon les dossiers. Pour minimiser l</w:t>
            </w:r>
            <w:r w:rsidRPr="00D67ADA">
              <w:rPr>
                <w:rFonts w:cstheme="minorHAnsi"/>
              </w:rPr>
              <w:t xml:space="preserve">es </w:t>
            </w:r>
            <w:r w:rsidR="00D91696" w:rsidRPr="00D67ADA">
              <w:rPr>
                <w:rFonts w:cstheme="minorHAnsi"/>
              </w:rPr>
              <w:t>couts</w:t>
            </w:r>
            <w:r w:rsidRPr="00D67ADA">
              <w:rPr>
                <w:rFonts w:cstheme="minorHAnsi"/>
              </w:rPr>
              <w:t>, peu d’attention est portée aux parties prenantes externes. Mais lorsque l’une d’entre elles se présente,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demeure accommodante avec elle et calcule tout. Comme elle est conforme aux exigences de la loi, l’organ</w:t>
            </w:r>
            <w:r w:rsidR="00797D60">
              <w:rPr>
                <w:rFonts w:cstheme="minorHAnsi"/>
              </w:rPr>
              <w:t xml:space="preserve">isation peut rester longtemps </w:t>
            </w:r>
            <w:r w:rsidR="00AC5856" w:rsidRPr="00D67ADA">
              <w:rPr>
                <w:rFonts w:cstheme="minorHAnsi"/>
              </w:rPr>
              <w:t>fig</w:t>
            </w:r>
            <w:r w:rsidR="00797D60">
              <w:rPr>
                <w:rFonts w:cstheme="minorHAnsi"/>
              </w:rPr>
              <w:t>ée</w:t>
            </w:r>
            <w:r w:rsidRPr="00D67ADA">
              <w:rPr>
                <w:rFonts w:cstheme="minorHAnsi"/>
              </w:rPr>
              <w:t xml:space="preserve"> à ce stade de maturité,</w:t>
            </w:r>
            <w:r w:rsidR="00797D60">
              <w:rPr>
                <w:rFonts w:cstheme="minorHAnsi"/>
              </w:rPr>
              <w:t xml:space="preserve"> d’où la présence d’un arrêt</w:t>
            </w:r>
            <w:r w:rsidRPr="00D67ADA">
              <w:rPr>
                <w:rFonts w:cstheme="minorHAnsi"/>
              </w:rPr>
              <w:t xml:space="preserve"> </w:t>
            </w:r>
            <w:r w:rsidR="00483263">
              <w:rPr>
                <w:rFonts w:cstheme="minorHAnsi"/>
              </w:rPr>
              <w:t xml:space="preserve">illustrant </w:t>
            </w:r>
            <w:r w:rsidR="00797D60">
              <w:rPr>
                <w:rFonts w:cstheme="minorHAnsi"/>
              </w:rPr>
              <w:t xml:space="preserve">l’image d’un </w:t>
            </w:r>
            <w:r w:rsidRPr="00D67ADA">
              <w:rPr>
                <w:rFonts w:cstheme="minorHAnsi"/>
              </w:rPr>
              <w:t>m</w:t>
            </w:r>
            <w:r w:rsidR="00797D60">
              <w:rPr>
                <w:rFonts w:cstheme="minorHAnsi"/>
              </w:rPr>
              <w:t>ur</w:t>
            </w:r>
            <w:r w:rsidRPr="00D67ADA">
              <w:rPr>
                <w:rFonts w:cstheme="minorHAnsi"/>
              </w:rPr>
              <w:t xml:space="preserve"> </w:t>
            </w:r>
            <w:r w:rsidR="00AC5856" w:rsidRPr="00D67ADA">
              <w:rPr>
                <w:rFonts w:cstheme="minorHAnsi"/>
              </w:rPr>
              <w:t>devant</w:t>
            </w:r>
            <w:r w:rsidRPr="00D67ADA">
              <w:rPr>
                <w:rFonts w:cstheme="minorHAnsi"/>
              </w:rPr>
              <w:t xml:space="preserve"> la progression.</w:t>
            </w:r>
          </w:p>
          <w:p w:rsidR="00AC5856" w:rsidRPr="00D67ADA" w:rsidRDefault="00AC5856" w:rsidP="00EC3C9E">
            <w:pPr>
              <w:jc w:val="both"/>
              <w:rPr>
                <w:rFonts w:cstheme="minorHAnsi"/>
              </w:rPr>
            </w:pPr>
          </w:p>
          <w:p w:rsidR="00EC3C9E" w:rsidRPr="00D67ADA" w:rsidRDefault="00EC3C9E" w:rsidP="00EC3C9E">
            <w:pPr>
              <w:jc w:val="both"/>
              <w:rPr>
                <w:rFonts w:cstheme="minorHAnsi"/>
                <w:b/>
              </w:rPr>
            </w:pPr>
            <w:r w:rsidRPr="00D67ADA">
              <w:rPr>
                <w:rFonts w:cstheme="minorHAnsi"/>
                <w:b/>
              </w:rPr>
              <w:t>Niveau 4 : Proactif</w:t>
            </w:r>
          </w:p>
          <w:p w:rsidR="00EC3C9E" w:rsidRPr="00D67ADA" w:rsidRDefault="00EC3C9E" w:rsidP="00EC3C9E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>La gestion interne de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évolue vers un esprit d’amélioration continue et de prise de responsabilité. Prendre ses responsabilités relativement au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(ou devant un enjeu donné) est un choix qui pousse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au-delà des minim</w:t>
            </w:r>
            <w:r w:rsidR="00AC5856" w:rsidRPr="00D67ADA">
              <w:rPr>
                <w:rFonts w:cstheme="minorHAnsi"/>
              </w:rPr>
              <w:t>ums</w:t>
            </w:r>
            <w:r w:rsidRPr="00D67ADA">
              <w:rPr>
                <w:rFonts w:cstheme="minorHAnsi"/>
              </w:rPr>
              <w:t xml:space="preserve"> requis et qui ex</w:t>
            </w:r>
            <w:r w:rsidR="00AC5856" w:rsidRPr="00D67ADA">
              <w:rPr>
                <w:rFonts w:cstheme="minorHAnsi"/>
              </w:rPr>
              <w:t xml:space="preserve">ige un investissement en temps </w:t>
            </w:r>
            <w:r w:rsidRPr="00D67ADA">
              <w:rPr>
                <w:rFonts w:cstheme="minorHAnsi"/>
              </w:rPr>
              <w:t xml:space="preserve">ou en argent, d’où la présence du saut au niveau de l’attention. Le saut se produit quand les décideurs au sein de l’organisation en arrivent à intérioriser les valeurs qui caractérisent le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>. Il ne s’agit plus de respecter des normes édictées par d’autres, mais bien de se comporter en fonction de valeurs qui nous sont chères. Proactive,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agit de manière à devancer les problèmes ou les obstacles. À ce stade, l’engagement de la direction </w:t>
            </w:r>
            <w:r w:rsidR="008F4EA4">
              <w:rPr>
                <w:rFonts w:cstheme="minorHAnsi"/>
              </w:rPr>
              <w:t>concernant le</w:t>
            </w:r>
            <w:r w:rsidRPr="00D67ADA">
              <w:rPr>
                <w:rFonts w:cstheme="minorHAnsi"/>
              </w:rPr>
              <w:t xml:space="preserve">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se clarifie et se reflète non seulement dans </w:t>
            </w:r>
            <w:r w:rsidRPr="00D67ADA">
              <w:rPr>
                <w:rFonts w:cstheme="minorHAnsi"/>
              </w:rPr>
              <w:lastRenderedPageBreak/>
              <w:t xml:space="preserve">son discours, mais aussi dans ses décisions et dans ses actes. Consciemment, elle va au-delà des normes et des exigences </w:t>
            </w:r>
            <w:r w:rsidR="00D91696" w:rsidRPr="00D67ADA">
              <w:rPr>
                <w:rFonts w:cstheme="minorHAnsi"/>
              </w:rPr>
              <w:t>règlementaires</w:t>
            </w:r>
            <w:r w:rsidRPr="00D67ADA">
              <w:rPr>
                <w:rFonts w:cstheme="minorHAnsi"/>
              </w:rPr>
              <w:t>.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effectue des veilles stratégiques afin de se positionner dans son secteur. Le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devient un investissement. À ce stade de maturité, la direction entre en synergie avec ses parties prenantes internes à travers un engagement organisationne</w:t>
            </w:r>
            <w:r w:rsidR="008F4EA4">
              <w:rPr>
                <w:rFonts w:cstheme="minorHAnsi"/>
              </w:rPr>
              <w:t>l bilatéral, ce qui a pour effe</w:t>
            </w:r>
            <w:r w:rsidRPr="00D67ADA">
              <w:rPr>
                <w:rFonts w:cstheme="minorHAnsi"/>
              </w:rPr>
              <w:t>t de faire bondir, en raison des efforts collectifs, le niveau d’attention globale de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. La direction et les parties prenantes internes agissent </w:t>
            </w:r>
            <w:r w:rsidR="00D91696" w:rsidRPr="00D67ADA">
              <w:rPr>
                <w:rFonts w:cstheme="minorHAnsi"/>
              </w:rPr>
              <w:t>ensemble</w:t>
            </w:r>
            <w:r w:rsidRPr="00D67ADA">
              <w:rPr>
                <w:rFonts w:cstheme="minorHAnsi"/>
              </w:rPr>
              <w:t xml:space="preserve">, </w:t>
            </w:r>
            <w:r w:rsidR="009D6C5B" w:rsidRPr="00D67ADA">
              <w:rPr>
                <w:rFonts w:cstheme="minorHAnsi"/>
              </w:rPr>
              <w:t>amorçant</w:t>
            </w:r>
            <w:r w:rsidRPr="00D67ADA">
              <w:rPr>
                <w:rFonts w:cstheme="minorHAnsi"/>
              </w:rPr>
              <w:t xml:space="preserve"> et créant ainsi un processus, formel ou non, d’amélioration continue et de lutte contre la </w:t>
            </w:r>
            <w:r w:rsidR="00C354EF" w:rsidRPr="00D67ADA">
              <w:rPr>
                <w:rFonts w:cstheme="minorHAnsi"/>
              </w:rPr>
              <w:t>contre productivité</w:t>
            </w:r>
            <w:r w:rsidRPr="00D67ADA">
              <w:rPr>
                <w:rFonts w:cstheme="minorHAnsi"/>
              </w:rPr>
              <w:t xml:space="preserve"> qu</w:t>
            </w:r>
            <w:r w:rsidR="009D6C5B" w:rsidRPr="00D67ADA">
              <w:rPr>
                <w:rFonts w:cstheme="minorHAnsi"/>
              </w:rPr>
              <w:t>’</w:t>
            </w:r>
            <w:r w:rsidRPr="00D67ADA">
              <w:rPr>
                <w:rFonts w:cstheme="minorHAnsi"/>
              </w:rPr>
              <w:t>amène la rigidité des structures.</w:t>
            </w:r>
          </w:p>
          <w:p w:rsidR="002A32D0" w:rsidRPr="00D67ADA" w:rsidRDefault="002A32D0" w:rsidP="00EC3C9E">
            <w:pPr>
              <w:jc w:val="both"/>
              <w:rPr>
                <w:rFonts w:cstheme="minorHAnsi"/>
              </w:rPr>
            </w:pPr>
          </w:p>
          <w:p w:rsidR="00EC3C9E" w:rsidRPr="00D67ADA" w:rsidRDefault="00D91696" w:rsidP="00EC3C9E">
            <w:pPr>
              <w:jc w:val="both"/>
              <w:rPr>
                <w:rFonts w:cstheme="minorHAnsi"/>
                <w:b/>
              </w:rPr>
            </w:pPr>
            <w:r w:rsidRPr="00D67ADA">
              <w:rPr>
                <w:rFonts w:cstheme="minorHAnsi"/>
                <w:b/>
              </w:rPr>
              <w:t>Niveau </w:t>
            </w:r>
            <w:r w:rsidR="00EC3C9E" w:rsidRPr="00D67ADA">
              <w:rPr>
                <w:rFonts w:cstheme="minorHAnsi"/>
                <w:b/>
              </w:rPr>
              <w:t>5 : Générateur</w:t>
            </w:r>
          </w:p>
          <w:p w:rsidR="00DA35BE" w:rsidRPr="00D67ADA" w:rsidRDefault="00EC3C9E" w:rsidP="002A32D0">
            <w:pPr>
              <w:jc w:val="both"/>
              <w:rPr>
                <w:rFonts w:cstheme="minorHAnsi"/>
              </w:rPr>
            </w:pPr>
            <w:r w:rsidRPr="00D67ADA">
              <w:rPr>
                <w:rFonts w:cstheme="minorHAnsi"/>
              </w:rPr>
              <w:t xml:space="preserve">Pour une 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de ce niveau, le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 xml:space="preserve"> fait partie intégrante de sa façon d’être </w:t>
            </w:r>
            <w:r w:rsidR="002A32D0" w:rsidRPr="00D67ADA">
              <w:rPr>
                <w:rFonts w:cstheme="minorHAnsi"/>
              </w:rPr>
              <w:t>dans les</w:t>
            </w:r>
            <w:r w:rsidRPr="00D67ADA">
              <w:rPr>
                <w:rFonts w:cstheme="minorHAnsi"/>
              </w:rPr>
              <w:t xml:space="preserve"> affaires. C’est une façon de vivre au tra</w:t>
            </w:r>
            <w:r w:rsidR="008F4EA4">
              <w:rPr>
                <w:rFonts w:cstheme="minorHAnsi"/>
              </w:rPr>
              <w:t>vail. Plus précisément, toutes l</w:t>
            </w:r>
            <w:r w:rsidRPr="00D67ADA">
              <w:rPr>
                <w:rFonts w:cstheme="minorHAnsi"/>
              </w:rPr>
              <w:t xml:space="preserve">es décisions </w:t>
            </w:r>
            <w:r w:rsidR="008F4EA4">
              <w:rPr>
                <w:rFonts w:cstheme="minorHAnsi"/>
              </w:rPr>
              <w:t xml:space="preserve">de l’organisation </w:t>
            </w:r>
            <w:r w:rsidRPr="00D67ADA">
              <w:rPr>
                <w:rFonts w:cstheme="minorHAnsi"/>
              </w:rPr>
              <w:t xml:space="preserve">tiennent compte du développement durable. Elle agit avec transparence et intégrité et utilise à bon escient son influence pour aider ses fournisseurs et la collectivité à progresser en termes de </w:t>
            </w:r>
            <w:r w:rsidR="000C54EF" w:rsidRPr="00D67ADA">
              <w:rPr>
                <w:rFonts w:cstheme="minorHAnsi"/>
              </w:rPr>
              <w:t>développement durable</w:t>
            </w:r>
            <w:r w:rsidRPr="00D67ADA">
              <w:rPr>
                <w:rFonts w:cstheme="minorHAnsi"/>
              </w:rPr>
              <w:t>. Elle va à la rencontre de ses parties prenantes externes, notamment celles de la société. L’</w:t>
            </w:r>
            <w:r w:rsidR="00F45974" w:rsidRPr="00D67ADA">
              <w:rPr>
                <w:rFonts w:cstheme="minorHAnsi"/>
              </w:rPr>
              <w:t>organisation</w:t>
            </w:r>
            <w:r w:rsidRPr="00D67ADA">
              <w:rPr>
                <w:rFonts w:cstheme="minorHAnsi"/>
              </w:rPr>
              <w:t xml:space="preserve"> est reconnue dans son secteur d’activités et même au-delà. Elle est considérée comme étant exemplaire et responsable. </w:t>
            </w:r>
          </w:p>
        </w:tc>
      </w:tr>
    </w:tbl>
    <w:p w:rsidR="001464F4" w:rsidRPr="00AC5856" w:rsidRDefault="008F4EA4" w:rsidP="00CC6C67">
      <w:pPr>
        <w:spacing w:before="240" w:after="0"/>
        <w:rPr>
          <w:rFonts w:cstheme="minorHAnsi"/>
          <w:b/>
        </w:rPr>
      </w:pPr>
      <w:r>
        <w:rPr>
          <w:rFonts w:cstheme="minorHAnsi"/>
          <w:b/>
        </w:rPr>
        <w:lastRenderedPageBreak/>
        <w:t>Conditions de succès</w:t>
      </w:r>
      <w:r w:rsidR="001464F4" w:rsidRPr="00AC5856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AC5856" w:rsidTr="00CC6C67">
        <w:trPr>
          <w:trHeight w:val="350"/>
        </w:trPr>
        <w:tc>
          <w:tcPr>
            <w:tcW w:w="10940" w:type="dxa"/>
          </w:tcPr>
          <w:p w:rsidR="00930221" w:rsidRPr="0095729C" w:rsidRDefault="00930221" w:rsidP="0095729C">
            <w:pPr>
              <w:pStyle w:val="Paragraphedeliste"/>
              <w:numPr>
                <w:ilvl w:val="0"/>
                <w:numId w:val="10"/>
              </w:numPr>
              <w:rPr>
                <w:rFonts w:cstheme="minorHAnsi"/>
              </w:rPr>
            </w:pPr>
            <w:r w:rsidRPr="0095729C">
              <w:rPr>
                <w:rFonts w:cstheme="minorHAnsi"/>
              </w:rPr>
              <w:t xml:space="preserve">Prendre le temps </w:t>
            </w:r>
            <w:r w:rsidR="00D91696" w:rsidRPr="0095729C">
              <w:rPr>
                <w:rFonts w:cstheme="minorHAnsi"/>
              </w:rPr>
              <w:t>d</w:t>
            </w:r>
            <w:r w:rsidR="009D6C5B" w:rsidRPr="0095729C">
              <w:rPr>
                <w:rFonts w:cstheme="minorHAnsi"/>
              </w:rPr>
              <w:t>’</w:t>
            </w:r>
            <w:r w:rsidRPr="0095729C">
              <w:rPr>
                <w:rFonts w:cstheme="minorHAnsi"/>
              </w:rPr>
              <w:t>écouter</w:t>
            </w:r>
            <w:r w:rsidR="009D6C5B" w:rsidRPr="0095729C">
              <w:rPr>
                <w:rFonts w:cstheme="minorHAnsi"/>
              </w:rPr>
              <w:t>.</w:t>
            </w:r>
          </w:p>
          <w:p w:rsidR="00BA41B8" w:rsidRPr="0095729C" w:rsidRDefault="00BA41B8" w:rsidP="0095729C">
            <w:pPr>
              <w:pStyle w:val="Paragraphedeliste"/>
              <w:numPr>
                <w:ilvl w:val="0"/>
                <w:numId w:val="10"/>
              </w:numPr>
              <w:rPr>
                <w:rFonts w:cstheme="minorHAnsi"/>
              </w:rPr>
            </w:pPr>
            <w:r w:rsidRPr="0095729C">
              <w:rPr>
                <w:rFonts w:cstheme="minorHAnsi"/>
              </w:rPr>
              <w:t xml:space="preserve">Faire </w:t>
            </w:r>
            <w:r w:rsidR="008F4EA4" w:rsidRPr="0095729C">
              <w:rPr>
                <w:rFonts w:cstheme="minorHAnsi"/>
              </w:rPr>
              <w:t xml:space="preserve">un </w:t>
            </w:r>
            <w:r w:rsidRPr="0095729C">
              <w:rPr>
                <w:rFonts w:cstheme="minorHAnsi"/>
              </w:rPr>
              <w:t>consensus sur le résultat final pour chacun des enjeux</w:t>
            </w:r>
            <w:r w:rsidR="009D6C5B" w:rsidRPr="0095729C">
              <w:rPr>
                <w:rFonts w:cstheme="minorHAnsi"/>
              </w:rPr>
              <w:t>.</w:t>
            </w:r>
          </w:p>
          <w:p w:rsidR="001464F4" w:rsidRPr="0095729C" w:rsidRDefault="00815373" w:rsidP="0095729C">
            <w:pPr>
              <w:pStyle w:val="Paragraphedeliste"/>
              <w:numPr>
                <w:ilvl w:val="0"/>
                <w:numId w:val="10"/>
              </w:numPr>
              <w:rPr>
                <w:rFonts w:cstheme="minorHAnsi"/>
              </w:rPr>
            </w:pPr>
            <w:r w:rsidRPr="0095729C">
              <w:rPr>
                <w:rFonts w:cstheme="minorHAnsi"/>
              </w:rPr>
              <w:t>Avoir en main l’outil</w:t>
            </w:r>
            <w:r w:rsidR="008422AB" w:rsidRPr="0095729C">
              <w:rPr>
                <w:rFonts w:cstheme="minorHAnsi"/>
              </w:rPr>
              <w:t xml:space="preserve"> </w:t>
            </w:r>
            <w:r w:rsidR="00A763D2" w:rsidRPr="0095729C">
              <w:rPr>
                <w:rFonts w:cstheme="minorHAnsi"/>
              </w:rPr>
              <w:t>« </w:t>
            </w:r>
            <w:r w:rsidRPr="0095729C">
              <w:rPr>
                <w:rFonts w:cstheme="minorHAnsi"/>
              </w:rPr>
              <w:t xml:space="preserve">5-1-1_Concis-bonnes-pratiques_Guide.pdf </w:t>
            </w:r>
            <w:r w:rsidR="00A763D2" w:rsidRPr="0095729C">
              <w:rPr>
                <w:rFonts w:cstheme="minorHAnsi"/>
              </w:rPr>
              <w:t>»</w:t>
            </w:r>
            <w:r w:rsidR="008F4EA4" w:rsidRPr="0095729C">
              <w:rPr>
                <w:rFonts w:cstheme="minorHAnsi"/>
              </w:rPr>
              <w:t>,</w:t>
            </w:r>
            <w:r w:rsidR="00A763D2" w:rsidRPr="0095729C">
              <w:rPr>
                <w:rFonts w:cstheme="minorHAnsi"/>
              </w:rPr>
              <w:t xml:space="preserve"> </w:t>
            </w:r>
            <w:r w:rsidR="002A32D0" w:rsidRPr="0095729C">
              <w:rPr>
                <w:rFonts w:cstheme="minorHAnsi"/>
              </w:rPr>
              <w:t>ce qui</w:t>
            </w:r>
            <w:r w:rsidR="002A32D0" w:rsidRPr="0095729C">
              <w:rPr>
                <w:rFonts w:cstheme="minorHAnsi"/>
                <w:i/>
              </w:rPr>
              <w:t xml:space="preserve"> </w:t>
            </w:r>
            <w:r w:rsidR="008F4EA4" w:rsidRPr="0095729C">
              <w:rPr>
                <w:rFonts w:cstheme="minorHAnsi"/>
              </w:rPr>
              <w:t>aide la personne-</w:t>
            </w:r>
            <w:r w:rsidR="00A763D2" w:rsidRPr="0095729C">
              <w:rPr>
                <w:rFonts w:cstheme="minorHAnsi"/>
              </w:rPr>
              <w:t>ressource à préciser les niveaux de maturité</w:t>
            </w:r>
            <w:r w:rsidR="007F4F2E" w:rsidRPr="0095729C">
              <w:rPr>
                <w:rFonts w:cstheme="minorHAnsi"/>
              </w:rPr>
              <w:t xml:space="preserve"> avec le groupe</w:t>
            </w:r>
            <w:r w:rsidR="009D6C5B" w:rsidRPr="0095729C">
              <w:rPr>
                <w:rFonts w:cstheme="minorHAnsi"/>
              </w:rPr>
              <w:t>.</w:t>
            </w:r>
          </w:p>
        </w:tc>
      </w:tr>
    </w:tbl>
    <w:p w:rsidR="00D240E7" w:rsidRDefault="00D240E7">
      <w:pPr>
        <w:rPr>
          <w:rFonts w:cstheme="minorHAnsi"/>
        </w:rPr>
      </w:pPr>
    </w:p>
    <w:sectPr w:rsidR="00D240E7" w:rsidSect="007B6CA6">
      <w:headerReference w:type="default" r:id="rId10"/>
      <w:footerReference w:type="default" r:id="rId11"/>
      <w:pgSz w:w="12240" w:h="15840"/>
      <w:pgMar w:top="1440" w:right="1080" w:bottom="1440" w:left="1080" w:header="36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46" w:rsidRDefault="00F66946" w:rsidP="00AB0854">
      <w:pPr>
        <w:spacing w:after="0" w:line="240" w:lineRule="auto"/>
      </w:pPr>
      <w:r>
        <w:separator/>
      </w:r>
    </w:p>
  </w:endnote>
  <w:endnote w:type="continuationSeparator" w:id="0">
    <w:p w:rsidR="00F66946" w:rsidRDefault="00F66946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8"/>
      <w:gridCol w:w="2980"/>
      <w:gridCol w:w="3768"/>
    </w:tblGrid>
    <w:tr w:rsidR="00D67ADA" w:rsidRPr="009B6968" w:rsidTr="00A93A22">
      <w:tc>
        <w:tcPr>
          <w:tcW w:w="3798" w:type="dxa"/>
          <w:vAlign w:val="bottom"/>
        </w:tcPr>
        <w:p w:rsidR="00D67ADA" w:rsidRPr="009B6968" w:rsidRDefault="007B6CA6" w:rsidP="00AC2DDC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D67ADA" w:rsidRPr="009B6968" w:rsidRDefault="00D67ADA" w:rsidP="00AC2DDC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7B6CA6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7C9FE73F" wp14:editId="1D776682">
                <wp:extent cx="1463163" cy="503978"/>
                <wp:effectExtent l="0" t="0" r="381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4006" cy="5042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D67ADA" w:rsidRPr="009B6968" w:rsidRDefault="00F66946" w:rsidP="00AC2DDC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D67ADA" w:rsidRPr="009B6968">
                <w:rPr>
                  <w:sz w:val="18"/>
                  <w:szCs w:val="18"/>
                </w:rPr>
                <w:br/>
              </w:r>
              <w:r w:rsidR="00D67ADA" w:rsidRPr="009B6968">
                <w:rPr>
                  <w:sz w:val="18"/>
                  <w:szCs w:val="18"/>
                </w:rPr>
                <w:br/>
              </w:r>
              <w:r w:rsidR="00D67ADA" w:rsidRPr="009B6968">
                <w:rPr>
                  <w:sz w:val="18"/>
                  <w:szCs w:val="18"/>
                </w:rPr>
                <w:fldChar w:fldCharType="begin"/>
              </w:r>
              <w:r w:rsidR="00D67ADA" w:rsidRPr="009B6968">
                <w:rPr>
                  <w:sz w:val="18"/>
                  <w:szCs w:val="18"/>
                </w:rPr>
                <w:instrText>PAGE   \* MERGEFORMAT</w:instrText>
              </w:r>
              <w:r w:rsidR="00D67ADA" w:rsidRPr="009B6968">
                <w:rPr>
                  <w:sz w:val="18"/>
                  <w:szCs w:val="18"/>
                </w:rPr>
                <w:fldChar w:fldCharType="separate"/>
              </w:r>
              <w:r w:rsidR="008744B2" w:rsidRPr="008744B2">
                <w:rPr>
                  <w:noProof/>
                  <w:sz w:val="18"/>
                  <w:szCs w:val="18"/>
                  <w:lang w:val="fr-FR"/>
                </w:rPr>
                <w:t>2</w:t>
              </w:r>
              <w:r w:rsidR="00D67ADA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D67ADA" w:rsidRDefault="00C4275A" w:rsidP="00D67AD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46" w:rsidRDefault="00F66946" w:rsidP="00AB0854">
      <w:pPr>
        <w:spacing w:after="0" w:line="240" w:lineRule="auto"/>
      </w:pPr>
      <w:r>
        <w:separator/>
      </w:r>
    </w:p>
  </w:footnote>
  <w:footnote w:type="continuationSeparator" w:id="0">
    <w:p w:rsidR="00F66946" w:rsidRDefault="00F66946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D67ADA" w:rsidTr="00AC2DDC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D67ADA" w:rsidRPr="00682610" w:rsidRDefault="00D67ADA" w:rsidP="00304760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Partage</w:t>
          </w:r>
          <w:r w:rsidR="00304760">
            <w:rPr>
              <w:rFonts w:cs="Calibri"/>
              <w:color w:val="FFFFFF"/>
              <w:sz w:val="28"/>
              <w:szCs w:val="28"/>
            </w:rPr>
            <w:t>r</w:t>
          </w:r>
          <w:r>
            <w:rPr>
              <w:rFonts w:cs="Calibri"/>
              <w:color w:val="FFFFFF"/>
              <w:sz w:val="28"/>
              <w:szCs w:val="28"/>
            </w:rPr>
            <w:t xml:space="preserve"> </w:t>
          </w:r>
          <w:r w:rsidR="00304760">
            <w:rPr>
              <w:rFonts w:cs="Calibri"/>
              <w:color w:val="FFFFFF"/>
              <w:sz w:val="28"/>
              <w:szCs w:val="28"/>
            </w:rPr>
            <w:t>votre</w:t>
          </w:r>
          <w:r>
            <w:rPr>
              <w:rFonts w:cs="Calibri"/>
              <w:color w:val="FFFFFF"/>
              <w:sz w:val="28"/>
              <w:szCs w:val="28"/>
            </w:rPr>
            <w:t xml:space="preserve">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D67ADA" w:rsidRDefault="008744B2" w:rsidP="00A93A22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D67ADA">
            <w:rPr>
              <w:rFonts w:cs="Calibri"/>
              <w:b/>
              <w:sz w:val="28"/>
              <w:szCs w:val="28"/>
            </w:rPr>
            <w:t>1</w:t>
          </w:r>
          <w:r w:rsidR="00A93A22">
            <w:rPr>
              <w:rFonts w:cs="Calibri"/>
              <w:b/>
              <w:sz w:val="28"/>
              <w:szCs w:val="28"/>
            </w:rPr>
            <w:t>-</w:t>
          </w:r>
          <w:r w:rsidR="00D67ADA">
            <w:rPr>
              <w:rFonts w:cs="Calibri"/>
              <w:b/>
              <w:sz w:val="28"/>
              <w:szCs w:val="28"/>
            </w:rPr>
            <w:t>2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B47D8E">
            <w:rPr>
              <w:rFonts w:cs="Calibri"/>
              <w:b/>
              <w:sz w:val="28"/>
              <w:szCs w:val="28"/>
            </w:rPr>
            <w:t> </w:t>
          </w:r>
          <w:r w:rsidR="00304760">
            <w:rPr>
              <w:rFonts w:cs="Calibri"/>
              <w:b/>
              <w:sz w:val="28"/>
              <w:szCs w:val="28"/>
            </w:rPr>
            <w:t xml:space="preserve">Réaliser votre </w:t>
          </w:r>
          <w:r w:rsidR="003001C7">
            <w:rPr>
              <w:rFonts w:cs="Calibri"/>
              <w:b/>
              <w:sz w:val="28"/>
              <w:szCs w:val="28"/>
            </w:rPr>
            <w:t>autoévaluation</w:t>
          </w:r>
        </w:p>
        <w:p w:rsidR="00A93A22" w:rsidRPr="00081789" w:rsidRDefault="00A93A22" w:rsidP="00A93A22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AB0854" w:rsidRPr="00A93A22" w:rsidRDefault="00AB0854" w:rsidP="00D67ADA">
    <w:pPr>
      <w:pStyle w:val="En-tte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97D"/>
    <w:multiLevelType w:val="hybridMultilevel"/>
    <w:tmpl w:val="1EA4D02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9217B"/>
    <w:multiLevelType w:val="hybridMultilevel"/>
    <w:tmpl w:val="856883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53A09"/>
    <w:multiLevelType w:val="hybridMultilevel"/>
    <w:tmpl w:val="470296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7419C7"/>
    <w:multiLevelType w:val="hybridMultilevel"/>
    <w:tmpl w:val="130AD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3270B"/>
    <w:multiLevelType w:val="hybridMultilevel"/>
    <w:tmpl w:val="164A88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4C1"/>
    <w:multiLevelType w:val="hybridMultilevel"/>
    <w:tmpl w:val="E44A749A"/>
    <w:lvl w:ilvl="0" w:tplc="040C0017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5E323DB"/>
    <w:multiLevelType w:val="hybridMultilevel"/>
    <w:tmpl w:val="4CB42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613A7"/>
    <w:multiLevelType w:val="hybridMultilevel"/>
    <w:tmpl w:val="2AEA9DD2"/>
    <w:lvl w:ilvl="0" w:tplc="13AC1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7695"/>
    <w:multiLevelType w:val="hybridMultilevel"/>
    <w:tmpl w:val="ECAAC6E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37F66"/>
    <w:multiLevelType w:val="hybridMultilevel"/>
    <w:tmpl w:val="D296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37F9A"/>
    <w:rsid w:val="000405AD"/>
    <w:rsid w:val="00041248"/>
    <w:rsid w:val="00050DB9"/>
    <w:rsid w:val="000575BA"/>
    <w:rsid w:val="00057A99"/>
    <w:rsid w:val="00061B59"/>
    <w:rsid w:val="000652D4"/>
    <w:rsid w:val="00065CD7"/>
    <w:rsid w:val="000732A9"/>
    <w:rsid w:val="00077F78"/>
    <w:rsid w:val="00081A4E"/>
    <w:rsid w:val="00083365"/>
    <w:rsid w:val="00084AF9"/>
    <w:rsid w:val="00086665"/>
    <w:rsid w:val="0008742F"/>
    <w:rsid w:val="000900E3"/>
    <w:rsid w:val="0009235E"/>
    <w:rsid w:val="00097943"/>
    <w:rsid w:val="000A0C78"/>
    <w:rsid w:val="000B19D2"/>
    <w:rsid w:val="000B351F"/>
    <w:rsid w:val="000B3AE2"/>
    <w:rsid w:val="000B3CE2"/>
    <w:rsid w:val="000B4270"/>
    <w:rsid w:val="000B4CB8"/>
    <w:rsid w:val="000B71DF"/>
    <w:rsid w:val="000B771D"/>
    <w:rsid w:val="000C54EF"/>
    <w:rsid w:val="000C6484"/>
    <w:rsid w:val="000C6D23"/>
    <w:rsid w:val="000C76ED"/>
    <w:rsid w:val="000D2752"/>
    <w:rsid w:val="000D3E5D"/>
    <w:rsid w:val="000D6CAD"/>
    <w:rsid w:val="000E10C1"/>
    <w:rsid w:val="000E2E6C"/>
    <w:rsid w:val="000E4BE5"/>
    <w:rsid w:val="000E5D26"/>
    <w:rsid w:val="000E6DFD"/>
    <w:rsid w:val="000E7F3C"/>
    <w:rsid w:val="000F0136"/>
    <w:rsid w:val="000F446C"/>
    <w:rsid w:val="00102760"/>
    <w:rsid w:val="00102B0E"/>
    <w:rsid w:val="001064D0"/>
    <w:rsid w:val="00106AE0"/>
    <w:rsid w:val="00110BD5"/>
    <w:rsid w:val="001114A2"/>
    <w:rsid w:val="00111A24"/>
    <w:rsid w:val="001169A9"/>
    <w:rsid w:val="00116CD3"/>
    <w:rsid w:val="00116F8F"/>
    <w:rsid w:val="00117A40"/>
    <w:rsid w:val="00117B3D"/>
    <w:rsid w:val="00117F96"/>
    <w:rsid w:val="00130DB2"/>
    <w:rsid w:val="00133556"/>
    <w:rsid w:val="001342C6"/>
    <w:rsid w:val="00136310"/>
    <w:rsid w:val="00140478"/>
    <w:rsid w:val="00142E13"/>
    <w:rsid w:val="0014589B"/>
    <w:rsid w:val="001464F4"/>
    <w:rsid w:val="0015026B"/>
    <w:rsid w:val="00154607"/>
    <w:rsid w:val="0016537E"/>
    <w:rsid w:val="00167AC9"/>
    <w:rsid w:val="00175357"/>
    <w:rsid w:val="00180209"/>
    <w:rsid w:val="001836C1"/>
    <w:rsid w:val="00185733"/>
    <w:rsid w:val="00185CCA"/>
    <w:rsid w:val="00187383"/>
    <w:rsid w:val="001874E9"/>
    <w:rsid w:val="0019017E"/>
    <w:rsid w:val="001968ED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4ED2"/>
    <w:rsid w:val="001C7D23"/>
    <w:rsid w:val="001D1530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3877"/>
    <w:rsid w:val="00205397"/>
    <w:rsid w:val="0020548B"/>
    <w:rsid w:val="002067F1"/>
    <w:rsid w:val="00206DB3"/>
    <w:rsid w:val="002071DB"/>
    <w:rsid w:val="00211AED"/>
    <w:rsid w:val="00211AF7"/>
    <w:rsid w:val="00214AB9"/>
    <w:rsid w:val="00216B31"/>
    <w:rsid w:val="00216F00"/>
    <w:rsid w:val="00223180"/>
    <w:rsid w:val="002241E0"/>
    <w:rsid w:val="0022542D"/>
    <w:rsid w:val="00226901"/>
    <w:rsid w:val="00226CC2"/>
    <w:rsid w:val="00231F5F"/>
    <w:rsid w:val="002344F0"/>
    <w:rsid w:val="00234752"/>
    <w:rsid w:val="00235F25"/>
    <w:rsid w:val="00237FA5"/>
    <w:rsid w:val="0024071E"/>
    <w:rsid w:val="00243ED1"/>
    <w:rsid w:val="002453A8"/>
    <w:rsid w:val="00246D13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06CE"/>
    <w:rsid w:val="002A32D0"/>
    <w:rsid w:val="002A4F0D"/>
    <w:rsid w:val="002A78DA"/>
    <w:rsid w:val="002B137B"/>
    <w:rsid w:val="002B3198"/>
    <w:rsid w:val="002B3683"/>
    <w:rsid w:val="002B4D62"/>
    <w:rsid w:val="002B5008"/>
    <w:rsid w:val="002B5302"/>
    <w:rsid w:val="002C0AD9"/>
    <w:rsid w:val="002C2CBD"/>
    <w:rsid w:val="002C482A"/>
    <w:rsid w:val="002C6242"/>
    <w:rsid w:val="002C7922"/>
    <w:rsid w:val="002D0F60"/>
    <w:rsid w:val="002D2FB5"/>
    <w:rsid w:val="002D2FE3"/>
    <w:rsid w:val="002D336D"/>
    <w:rsid w:val="002D4C6E"/>
    <w:rsid w:val="002D583F"/>
    <w:rsid w:val="002D7A1D"/>
    <w:rsid w:val="002E00B2"/>
    <w:rsid w:val="002E2847"/>
    <w:rsid w:val="002E2909"/>
    <w:rsid w:val="002E36C2"/>
    <w:rsid w:val="002E406D"/>
    <w:rsid w:val="002E719B"/>
    <w:rsid w:val="002F4E61"/>
    <w:rsid w:val="002F7594"/>
    <w:rsid w:val="002F7A4D"/>
    <w:rsid w:val="002F7EF9"/>
    <w:rsid w:val="003001C7"/>
    <w:rsid w:val="00302A0C"/>
    <w:rsid w:val="00304760"/>
    <w:rsid w:val="00304C60"/>
    <w:rsid w:val="003056CB"/>
    <w:rsid w:val="003063BF"/>
    <w:rsid w:val="003102B1"/>
    <w:rsid w:val="00314CAA"/>
    <w:rsid w:val="00317C49"/>
    <w:rsid w:val="003200B6"/>
    <w:rsid w:val="00327557"/>
    <w:rsid w:val="00330C52"/>
    <w:rsid w:val="00331354"/>
    <w:rsid w:val="00334BA1"/>
    <w:rsid w:val="0033651B"/>
    <w:rsid w:val="00341E03"/>
    <w:rsid w:val="00343314"/>
    <w:rsid w:val="0034586C"/>
    <w:rsid w:val="00351F96"/>
    <w:rsid w:val="0035271D"/>
    <w:rsid w:val="00356FBC"/>
    <w:rsid w:val="00357383"/>
    <w:rsid w:val="003606AF"/>
    <w:rsid w:val="00361424"/>
    <w:rsid w:val="003616F1"/>
    <w:rsid w:val="003626B5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0865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4E47"/>
    <w:rsid w:val="003C57B1"/>
    <w:rsid w:val="003D1214"/>
    <w:rsid w:val="003D25AB"/>
    <w:rsid w:val="003E22C0"/>
    <w:rsid w:val="003E5F9F"/>
    <w:rsid w:val="003E6950"/>
    <w:rsid w:val="003E6974"/>
    <w:rsid w:val="003F10EF"/>
    <w:rsid w:val="003F18DD"/>
    <w:rsid w:val="003F28E3"/>
    <w:rsid w:val="003F4723"/>
    <w:rsid w:val="003F57D8"/>
    <w:rsid w:val="00400EED"/>
    <w:rsid w:val="00401106"/>
    <w:rsid w:val="00401AFD"/>
    <w:rsid w:val="0040239F"/>
    <w:rsid w:val="004042CC"/>
    <w:rsid w:val="00405B9E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26238"/>
    <w:rsid w:val="004327CF"/>
    <w:rsid w:val="00432F04"/>
    <w:rsid w:val="00436DDF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6B2"/>
    <w:rsid w:val="00472B46"/>
    <w:rsid w:val="0047484C"/>
    <w:rsid w:val="00474C0C"/>
    <w:rsid w:val="00475A6E"/>
    <w:rsid w:val="004820AA"/>
    <w:rsid w:val="00482D8C"/>
    <w:rsid w:val="00483263"/>
    <w:rsid w:val="004845B1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1960"/>
    <w:rsid w:val="00506682"/>
    <w:rsid w:val="00507A5D"/>
    <w:rsid w:val="005110E6"/>
    <w:rsid w:val="00514E94"/>
    <w:rsid w:val="00516F2D"/>
    <w:rsid w:val="005219E1"/>
    <w:rsid w:val="0052495D"/>
    <w:rsid w:val="00527B0E"/>
    <w:rsid w:val="005339F9"/>
    <w:rsid w:val="0053689A"/>
    <w:rsid w:val="00536B6B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3062"/>
    <w:rsid w:val="005641C6"/>
    <w:rsid w:val="00564C0D"/>
    <w:rsid w:val="00566B23"/>
    <w:rsid w:val="00566BDE"/>
    <w:rsid w:val="00570CE0"/>
    <w:rsid w:val="00572CD4"/>
    <w:rsid w:val="00573305"/>
    <w:rsid w:val="00577C99"/>
    <w:rsid w:val="0058073A"/>
    <w:rsid w:val="00587E7F"/>
    <w:rsid w:val="00596BB8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10B4"/>
    <w:rsid w:val="005D2022"/>
    <w:rsid w:val="005D2128"/>
    <w:rsid w:val="005D2AB4"/>
    <w:rsid w:val="005D471A"/>
    <w:rsid w:val="005E04E7"/>
    <w:rsid w:val="005E1D87"/>
    <w:rsid w:val="005E27E1"/>
    <w:rsid w:val="005E4751"/>
    <w:rsid w:val="005E6D73"/>
    <w:rsid w:val="005F18C1"/>
    <w:rsid w:val="005F1CE6"/>
    <w:rsid w:val="005F66C3"/>
    <w:rsid w:val="005F7130"/>
    <w:rsid w:val="00600976"/>
    <w:rsid w:val="00601169"/>
    <w:rsid w:val="00602339"/>
    <w:rsid w:val="00603EB8"/>
    <w:rsid w:val="00605454"/>
    <w:rsid w:val="006060DB"/>
    <w:rsid w:val="0060696A"/>
    <w:rsid w:val="00606F43"/>
    <w:rsid w:val="00611699"/>
    <w:rsid w:val="00612CCD"/>
    <w:rsid w:val="0061433F"/>
    <w:rsid w:val="00617116"/>
    <w:rsid w:val="00623A22"/>
    <w:rsid w:val="006268EE"/>
    <w:rsid w:val="00626E41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D7135"/>
    <w:rsid w:val="006E18DF"/>
    <w:rsid w:val="006E1903"/>
    <w:rsid w:val="006E21D3"/>
    <w:rsid w:val="006E3DD8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1E64"/>
    <w:rsid w:val="00715758"/>
    <w:rsid w:val="00716050"/>
    <w:rsid w:val="00717050"/>
    <w:rsid w:val="00717127"/>
    <w:rsid w:val="00723E47"/>
    <w:rsid w:val="00723F95"/>
    <w:rsid w:val="00724596"/>
    <w:rsid w:val="00724B21"/>
    <w:rsid w:val="00725412"/>
    <w:rsid w:val="00726F23"/>
    <w:rsid w:val="00727426"/>
    <w:rsid w:val="00730134"/>
    <w:rsid w:val="00736662"/>
    <w:rsid w:val="00737664"/>
    <w:rsid w:val="00741AE0"/>
    <w:rsid w:val="00742079"/>
    <w:rsid w:val="00742867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879A6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97D60"/>
    <w:rsid w:val="007A0789"/>
    <w:rsid w:val="007A2A35"/>
    <w:rsid w:val="007A3EBF"/>
    <w:rsid w:val="007A63B0"/>
    <w:rsid w:val="007A7833"/>
    <w:rsid w:val="007B1AE6"/>
    <w:rsid w:val="007B5454"/>
    <w:rsid w:val="007B629E"/>
    <w:rsid w:val="007B6CA6"/>
    <w:rsid w:val="007B7216"/>
    <w:rsid w:val="007C0004"/>
    <w:rsid w:val="007C3A90"/>
    <w:rsid w:val="007C3B88"/>
    <w:rsid w:val="007D2158"/>
    <w:rsid w:val="007D482E"/>
    <w:rsid w:val="007E05AE"/>
    <w:rsid w:val="007E1E7C"/>
    <w:rsid w:val="007F435F"/>
    <w:rsid w:val="007F4D1C"/>
    <w:rsid w:val="007F4F2E"/>
    <w:rsid w:val="007F6943"/>
    <w:rsid w:val="008007DF"/>
    <w:rsid w:val="00805ECE"/>
    <w:rsid w:val="00810EC6"/>
    <w:rsid w:val="008126E2"/>
    <w:rsid w:val="00815373"/>
    <w:rsid w:val="00830F9A"/>
    <w:rsid w:val="00832E5C"/>
    <w:rsid w:val="00835F67"/>
    <w:rsid w:val="00837AD9"/>
    <w:rsid w:val="008422AB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44B2"/>
    <w:rsid w:val="008756FB"/>
    <w:rsid w:val="00881584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46B1"/>
    <w:rsid w:val="008B5E95"/>
    <w:rsid w:val="008B6D79"/>
    <w:rsid w:val="008B7988"/>
    <w:rsid w:val="008B7FF1"/>
    <w:rsid w:val="008C4D65"/>
    <w:rsid w:val="008C5712"/>
    <w:rsid w:val="008C7935"/>
    <w:rsid w:val="008D43AA"/>
    <w:rsid w:val="008D56CD"/>
    <w:rsid w:val="008D626B"/>
    <w:rsid w:val="008D708E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4EA4"/>
    <w:rsid w:val="008F778E"/>
    <w:rsid w:val="00900DC1"/>
    <w:rsid w:val="0090114E"/>
    <w:rsid w:val="00905183"/>
    <w:rsid w:val="009131FD"/>
    <w:rsid w:val="009227B3"/>
    <w:rsid w:val="00926DB6"/>
    <w:rsid w:val="00927F77"/>
    <w:rsid w:val="00930221"/>
    <w:rsid w:val="00937CE4"/>
    <w:rsid w:val="00940E84"/>
    <w:rsid w:val="0094428E"/>
    <w:rsid w:val="00944CEB"/>
    <w:rsid w:val="00952904"/>
    <w:rsid w:val="00955C15"/>
    <w:rsid w:val="0095729C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87DA0"/>
    <w:rsid w:val="00994724"/>
    <w:rsid w:val="009A691D"/>
    <w:rsid w:val="009A7EA3"/>
    <w:rsid w:val="009B2379"/>
    <w:rsid w:val="009B3678"/>
    <w:rsid w:val="009B7AA2"/>
    <w:rsid w:val="009C1E58"/>
    <w:rsid w:val="009C2AE1"/>
    <w:rsid w:val="009C5091"/>
    <w:rsid w:val="009C687E"/>
    <w:rsid w:val="009C7AFE"/>
    <w:rsid w:val="009D22DB"/>
    <w:rsid w:val="009D2D11"/>
    <w:rsid w:val="009D2E8B"/>
    <w:rsid w:val="009D6C5B"/>
    <w:rsid w:val="009D6FC3"/>
    <w:rsid w:val="009D747A"/>
    <w:rsid w:val="009E0569"/>
    <w:rsid w:val="009E1778"/>
    <w:rsid w:val="009E4EA3"/>
    <w:rsid w:val="009F038B"/>
    <w:rsid w:val="009F12EA"/>
    <w:rsid w:val="009F2AB4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5BE9"/>
    <w:rsid w:val="00A36BBA"/>
    <w:rsid w:val="00A50CA3"/>
    <w:rsid w:val="00A51329"/>
    <w:rsid w:val="00A70D51"/>
    <w:rsid w:val="00A71658"/>
    <w:rsid w:val="00A74BF3"/>
    <w:rsid w:val="00A75CEC"/>
    <w:rsid w:val="00A763D2"/>
    <w:rsid w:val="00A80557"/>
    <w:rsid w:val="00A84189"/>
    <w:rsid w:val="00A91E7F"/>
    <w:rsid w:val="00A92CEB"/>
    <w:rsid w:val="00A92E0B"/>
    <w:rsid w:val="00A93A22"/>
    <w:rsid w:val="00A942FE"/>
    <w:rsid w:val="00AA14E3"/>
    <w:rsid w:val="00AA6A66"/>
    <w:rsid w:val="00AA6DD1"/>
    <w:rsid w:val="00AA754D"/>
    <w:rsid w:val="00AB0854"/>
    <w:rsid w:val="00AB08BC"/>
    <w:rsid w:val="00AB0FF9"/>
    <w:rsid w:val="00AB2D47"/>
    <w:rsid w:val="00AC2B9D"/>
    <w:rsid w:val="00AC4388"/>
    <w:rsid w:val="00AC5856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05A2D"/>
    <w:rsid w:val="00B213C3"/>
    <w:rsid w:val="00B22FAF"/>
    <w:rsid w:val="00B2376C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2F17"/>
    <w:rsid w:val="00B44F98"/>
    <w:rsid w:val="00B4694B"/>
    <w:rsid w:val="00B47607"/>
    <w:rsid w:val="00B47D8E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0CED"/>
    <w:rsid w:val="00B74B84"/>
    <w:rsid w:val="00B76FA5"/>
    <w:rsid w:val="00B8538E"/>
    <w:rsid w:val="00B8595F"/>
    <w:rsid w:val="00B871C5"/>
    <w:rsid w:val="00B905FF"/>
    <w:rsid w:val="00B94E2E"/>
    <w:rsid w:val="00B95457"/>
    <w:rsid w:val="00B959CC"/>
    <w:rsid w:val="00B97A42"/>
    <w:rsid w:val="00BA01D5"/>
    <w:rsid w:val="00BA057F"/>
    <w:rsid w:val="00BA0C45"/>
    <w:rsid w:val="00BA0CA6"/>
    <w:rsid w:val="00BA30AE"/>
    <w:rsid w:val="00BA41B8"/>
    <w:rsid w:val="00BA5085"/>
    <w:rsid w:val="00BA57EA"/>
    <w:rsid w:val="00BA5FAC"/>
    <w:rsid w:val="00BA6932"/>
    <w:rsid w:val="00BA79D0"/>
    <w:rsid w:val="00BB0EB3"/>
    <w:rsid w:val="00BB1BFF"/>
    <w:rsid w:val="00BB2937"/>
    <w:rsid w:val="00BB42E4"/>
    <w:rsid w:val="00BB4CF8"/>
    <w:rsid w:val="00BB5486"/>
    <w:rsid w:val="00BB5BF7"/>
    <w:rsid w:val="00BC7A8D"/>
    <w:rsid w:val="00BD40D6"/>
    <w:rsid w:val="00BD419F"/>
    <w:rsid w:val="00BD447A"/>
    <w:rsid w:val="00BD4E61"/>
    <w:rsid w:val="00BD575F"/>
    <w:rsid w:val="00BF0A7A"/>
    <w:rsid w:val="00BF3A87"/>
    <w:rsid w:val="00BF449F"/>
    <w:rsid w:val="00BF45F9"/>
    <w:rsid w:val="00BF55DE"/>
    <w:rsid w:val="00C0403E"/>
    <w:rsid w:val="00C04B1B"/>
    <w:rsid w:val="00C11894"/>
    <w:rsid w:val="00C1205B"/>
    <w:rsid w:val="00C13529"/>
    <w:rsid w:val="00C13966"/>
    <w:rsid w:val="00C13EAB"/>
    <w:rsid w:val="00C1473C"/>
    <w:rsid w:val="00C1521C"/>
    <w:rsid w:val="00C215D3"/>
    <w:rsid w:val="00C239C6"/>
    <w:rsid w:val="00C23DAA"/>
    <w:rsid w:val="00C244FF"/>
    <w:rsid w:val="00C30368"/>
    <w:rsid w:val="00C31249"/>
    <w:rsid w:val="00C3216E"/>
    <w:rsid w:val="00C3303E"/>
    <w:rsid w:val="00C33077"/>
    <w:rsid w:val="00C34781"/>
    <w:rsid w:val="00C34B3B"/>
    <w:rsid w:val="00C354EF"/>
    <w:rsid w:val="00C41397"/>
    <w:rsid w:val="00C4153C"/>
    <w:rsid w:val="00C4275A"/>
    <w:rsid w:val="00C45CAB"/>
    <w:rsid w:val="00C45D93"/>
    <w:rsid w:val="00C50AFB"/>
    <w:rsid w:val="00C53B5D"/>
    <w:rsid w:val="00C57190"/>
    <w:rsid w:val="00C5753E"/>
    <w:rsid w:val="00C60153"/>
    <w:rsid w:val="00C602D7"/>
    <w:rsid w:val="00C61607"/>
    <w:rsid w:val="00C635BB"/>
    <w:rsid w:val="00C65333"/>
    <w:rsid w:val="00C65F86"/>
    <w:rsid w:val="00C66FE8"/>
    <w:rsid w:val="00C67627"/>
    <w:rsid w:val="00C706EE"/>
    <w:rsid w:val="00C7097D"/>
    <w:rsid w:val="00C71DCB"/>
    <w:rsid w:val="00C72BD0"/>
    <w:rsid w:val="00C7613E"/>
    <w:rsid w:val="00C76349"/>
    <w:rsid w:val="00C8012D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6C67"/>
    <w:rsid w:val="00CD1EB6"/>
    <w:rsid w:val="00CE0466"/>
    <w:rsid w:val="00CE0747"/>
    <w:rsid w:val="00CE3F0F"/>
    <w:rsid w:val="00CE46BB"/>
    <w:rsid w:val="00CE6691"/>
    <w:rsid w:val="00CF1326"/>
    <w:rsid w:val="00CF2DE2"/>
    <w:rsid w:val="00CF33E7"/>
    <w:rsid w:val="00CF3B91"/>
    <w:rsid w:val="00CF5EED"/>
    <w:rsid w:val="00CF76B6"/>
    <w:rsid w:val="00D00E63"/>
    <w:rsid w:val="00D03510"/>
    <w:rsid w:val="00D03FEC"/>
    <w:rsid w:val="00D04DB1"/>
    <w:rsid w:val="00D06851"/>
    <w:rsid w:val="00D06BB0"/>
    <w:rsid w:val="00D07427"/>
    <w:rsid w:val="00D10E8A"/>
    <w:rsid w:val="00D11EF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27BF5"/>
    <w:rsid w:val="00D3227F"/>
    <w:rsid w:val="00D36748"/>
    <w:rsid w:val="00D37CA7"/>
    <w:rsid w:val="00D37CCB"/>
    <w:rsid w:val="00D4095B"/>
    <w:rsid w:val="00D412D4"/>
    <w:rsid w:val="00D41C13"/>
    <w:rsid w:val="00D43B9B"/>
    <w:rsid w:val="00D43CB2"/>
    <w:rsid w:val="00D46154"/>
    <w:rsid w:val="00D475EB"/>
    <w:rsid w:val="00D52F92"/>
    <w:rsid w:val="00D54F13"/>
    <w:rsid w:val="00D571C1"/>
    <w:rsid w:val="00D625CC"/>
    <w:rsid w:val="00D6278E"/>
    <w:rsid w:val="00D64254"/>
    <w:rsid w:val="00D67ADA"/>
    <w:rsid w:val="00D70271"/>
    <w:rsid w:val="00D7194B"/>
    <w:rsid w:val="00D74CA8"/>
    <w:rsid w:val="00D819AC"/>
    <w:rsid w:val="00D82174"/>
    <w:rsid w:val="00D8282C"/>
    <w:rsid w:val="00D85595"/>
    <w:rsid w:val="00D8566E"/>
    <w:rsid w:val="00D85822"/>
    <w:rsid w:val="00D91696"/>
    <w:rsid w:val="00D91F24"/>
    <w:rsid w:val="00D93B25"/>
    <w:rsid w:val="00DA1170"/>
    <w:rsid w:val="00DA35BE"/>
    <w:rsid w:val="00DA4C47"/>
    <w:rsid w:val="00DA4D94"/>
    <w:rsid w:val="00DB2AE3"/>
    <w:rsid w:val="00DB2DF8"/>
    <w:rsid w:val="00DB4F5F"/>
    <w:rsid w:val="00DC0789"/>
    <w:rsid w:val="00DC1BE4"/>
    <w:rsid w:val="00DC1F0D"/>
    <w:rsid w:val="00DC324E"/>
    <w:rsid w:val="00DC7586"/>
    <w:rsid w:val="00DD2449"/>
    <w:rsid w:val="00DD3757"/>
    <w:rsid w:val="00DD45A0"/>
    <w:rsid w:val="00DD46A8"/>
    <w:rsid w:val="00DD4F75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6D3A"/>
    <w:rsid w:val="00E070E2"/>
    <w:rsid w:val="00E07F1E"/>
    <w:rsid w:val="00E12385"/>
    <w:rsid w:val="00E12D90"/>
    <w:rsid w:val="00E146BD"/>
    <w:rsid w:val="00E16457"/>
    <w:rsid w:val="00E16F48"/>
    <w:rsid w:val="00E17E47"/>
    <w:rsid w:val="00E206CB"/>
    <w:rsid w:val="00E216F4"/>
    <w:rsid w:val="00E22552"/>
    <w:rsid w:val="00E22961"/>
    <w:rsid w:val="00E244DA"/>
    <w:rsid w:val="00E268BE"/>
    <w:rsid w:val="00E3175B"/>
    <w:rsid w:val="00E33990"/>
    <w:rsid w:val="00E347A3"/>
    <w:rsid w:val="00E4267C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1851"/>
    <w:rsid w:val="00E65E17"/>
    <w:rsid w:val="00E7172E"/>
    <w:rsid w:val="00E71FD4"/>
    <w:rsid w:val="00E76A5A"/>
    <w:rsid w:val="00E76F0F"/>
    <w:rsid w:val="00E8383F"/>
    <w:rsid w:val="00E85812"/>
    <w:rsid w:val="00E907DC"/>
    <w:rsid w:val="00E95256"/>
    <w:rsid w:val="00E97A8C"/>
    <w:rsid w:val="00EA2C33"/>
    <w:rsid w:val="00EA2C37"/>
    <w:rsid w:val="00EA2C54"/>
    <w:rsid w:val="00EA3F08"/>
    <w:rsid w:val="00EB0281"/>
    <w:rsid w:val="00EB1324"/>
    <w:rsid w:val="00EB1460"/>
    <w:rsid w:val="00EB5E71"/>
    <w:rsid w:val="00EB671D"/>
    <w:rsid w:val="00EC1C8F"/>
    <w:rsid w:val="00EC208A"/>
    <w:rsid w:val="00EC2C87"/>
    <w:rsid w:val="00EC3C9E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2E13"/>
    <w:rsid w:val="00EF3E8B"/>
    <w:rsid w:val="00EF5193"/>
    <w:rsid w:val="00F004B6"/>
    <w:rsid w:val="00F00B3C"/>
    <w:rsid w:val="00F0386A"/>
    <w:rsid w:val="00F0473C"/>
    <w:rsid w:val="00F051C5"/>
    <w:rsid w:val="00F07B78"/>
    <w:rsid w:val="00F100AA"/>
    <w:rsid w:val="00F1025B"/>
    <w:rsid w:val="00F11033"/>
    <w:rsid w:val="00F1104C"/>
    <w:rsid w:val="00F14758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1753"/>
    <w:rsid w:val="00F41C63"/>
    <w:rsid w:val="00F43A5B"/>
    <w:rsid w:val="00F4472B"/>
    <w:rsid w:val="00F45974"/>
    <w:rsid w:val="00F45DD2"/>
    <w:rsid w:val="00F51876"/>
    <w:rsid w:val="00F5610D"/>
    <w:rsid w:val="00F629ED"/>
    <w:rsid w:val="00F66946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B784A"/>
    <w:rsid w:val="00FC098E"/>
    <w:rsid w:val="00FC1E98"/>
    <w:rsid w:val="00FC4E6C"/>
    <w:rsid w:val="00FC5C87"/>
    <w:rsid w:val="00FD003C"/>
    <w:rsid w:val="00FD0716"/>
    <w:rsid w:val="00FD315F"/>
    <w:rsid w:val="00FE185C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67AC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67A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aragraphedeliste1">
    <w:name w:val="Paragraphe de liste1"/>
    <w:basedOn w:val="Normal"/>
    <w:uiPriority w:val="34"/>
    <w:qFormat/>
    <w:rsid w:val="00167AC9"/>
    <w:pPr>
      <w:ind w:left="720"/>
      <w:contextualSpacing/>
    </w:pPr>
    <w:rPr>
      <w:rFonts w:ascii="Calibri" w:eastAsia="Times New Roman" w:hAnsi="Calibri" w:cs="Times New Roman"/>
    </w:rPr>
  </w:style>
  <w:style w:type="paragraph" w:styleId="Notedebasdepage">
    <w:name w:val="footnote text"/>
    <w:basedOn w:val="Normal"/>
    <w:link w:val="NotedebasdepageCar"/>
    <w:uiPriority w:val="99"/>
    <w:unhideWhenUsed/>
    <w:rsid w:val="00167AC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7AC9"/>
    <w:rPr>
      <w:rFonts w:ascii="Calibri" w:eastAsia="Times New Roman" w:hAnsi="Calibri" w:cs="Times New Roman"/>
      <w:sz w:val="20"/>
      <w:szCs w:val="20"/>
      <w:lang w:val="fr-FR"/>
    </w:rPr>
  </w:style>
  <w:style w:type="character" w:styleId="Appelnotedebasdep">
    <w:name w:val="footnote reference"/>
    <w:uiPriority w:val="99"/>
    <w:unhideWhenUsed/>
    <w:rsid w:val="00167AC9"/>
    <w:rPr>
      <w:rFonts w:cs="Times New Roman"/>
      <w:vertAlign w:val="superscript"/>
    </w:rPr>
  </w:style>
  <w:style w:type="character" w:styleId="Lienhypertexte">
    <w:name w:val="Hyperlink"/>
    <w:uiPriority w:val="99"/>
    <w:unhideWhenUsed/>
    <w:rsid w:val="00167AC9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67AC9"/>
    <w:pPr>
      <w:keepLines/>
      <w:spacing w:before="480" w:after="0"/>
      <w:outlineLvl w:val="9"/>
    </w:pPr>
    <w:rPr>
      <w:color w:val="365F91"/>
      <w:kern w:val="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67AC9"/>
    <w:rPr>
      <w:rFonts w:ascii="Calibri" w:eastAsia="Times New Roman" w:hAnsi="Calibri" w:cs="Times New Roman"/>
      <w:lang w:val="fr-FR"/>
    </w:rPr>
  </w:style>
  <w:style w:type="paragraph" w:styleId="Rvision">
    <w:name w:val="Revision"/>
    <w:hidden/>
    <w:uiPriority w:val="99"/>
    <w:semiHidden/>
    <w:rsid w:val="001C4ED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979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79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79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7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79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67AC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67A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aragraphedeliste1">
    <w:name w:val="Paragraphe de liste1"/>
    <w:basedOn w:val="Normal"/>
    <w:uiPriority w:val="34"/>
    <w:qFormat/>
    <w:rsid w:val="00167AC9"/>
    <w:pPr>
      <w:ind w:left="720"/>
      <w:contextualSpacing/>
    </w:pPr>
    <w:rPr>
      <w:rFonts w:ascii="Calibri" w:eastAsia="Times New Roman" w:hAnsi="Calibri" w:cs="Times New Roman"/>
    </w:rPr>
  </w:style>
  <w:style w:type="paragraph" w:styleId="Notedebasdepage">
    <w:name w:val="footnote text"/>
    <w:basedOn w:val="Normal"/>
    <w:link w:val="NotedebasdepageCar"/>
    <w:uiPriority w:val="99"/>
    <w:unhideWhenUsed/>
    <w:rsid w:val="00167AC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7AC9"/>
    <w:rPr>
      <w:rFonts w:ascii="Calibri" w:eastAsia="Times New Roman" w:hAnsi="Calibri" w:cs="Times New Roman"/>
      <w:sz w:val="20"/>
      <w:szCs w:val="20"/>
      <w:lang w:val="fr-FR"/>
    </w:rPr>
  </w:style>
  <w:style w:type="character" w:styleId="Appelnotedebasdep">
    <w:name w:val="footnote reference"/>
    <w:uiPriority w:val="99"/>
    <w:unhideWhenUsed/>
    <w:rsid w:val="00167AC9"/>
    <w:rPr>
      <w:rFonts w:cs="Times New Roman"/>
      <w:vertAlign w:val="superscript"/>
    </w:rPr>
  </w:style>
  <w:style w:type="character" w:styleId="Lienhypertexte">
    <w:name w:val="Hyperlink"/>
    <w:uiPriority w:val="99"/>
    <w:unhideWhenUsed/>
    <w:rsid w:val="00167AC9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67AC9"/>
    <w:pPr>
      <w:keepLines/>
      <w:spacing w:before="480" w:after="0"/>
      <w:outlineLvl w:val="9"/>
    </w:pPr>
    <w:rPr>
      <w:color w:val="365F91"/>
      <w:kern w:val="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67AC9"/>
    <w:rPr>
      <w:rFonts w:ascii="Calibri" w:eastAsia="Times New Roman" w:hAnsi="Calibri" w:cs="Times New Roman"/>
      <w:lang w:val="fr-FR"/>
    </w:rPr>
  </w:style>
  <w:style w:type="paragraph" w:styleId="Rvision">
    <w:name w:val="Revision"/>
    <w:hidden/>
    <w:uiPriority w:val="99"/>
    <w:semiHidden/>
    <w:rsid w:val="001C4ED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979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79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79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7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79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BBA3-BCFD-464E-9E43-73CA6C611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1353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12</cp:revision>
  <cp:lastPrinted>2012-11-06T14:37:00Z</cp:lastPrinted>
  <dcterms:created xsi:type="dcterms:W3CDTF">2013-03-07T19:26:00Z</dcterms:created>
  <dcterms:modified xsi:type="dcterms:W3CDTF">2013-04-01T17:59:00Z</dcterms:modified>
</cp:coreProperties>
</file>